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990" w:rsidRPr="00067AA9" w:rsidRDefault="00E55990">
      <w:pPr>
        <w:spacing w:after="6" w:line="240" w:lineRule="auto"/>
        <w:ind w:left="1" w:firstLine="0"/>
        <w:jc w:val="left"/>
        <w:rPr>
          <w:rFonts w:ascii="Arial" w:hAnsi="Arial" w:cs="Arial"/>
          <w:szCs w:val="20"/>
        </w:rPr>
      </w:pPr>
    </w:p>
    <w:p w:rsidR="00E55990" w:rsidRPr="00067AA9" w:rsidRDefault="00067AA9">
      <w:pPr>
        <w:spacing w:after="91" w:line="240" w:lineRule="auto"/>
        <w:ind w:left="1" w:firstLine="0"/>
        <w:jc w:val="left"/>
        <w:rPr>
          <w:rFonts w:ascii="Arial" w:hAnsi="Arial" w:cs="Arial"/>
          <w:sz w:val="28"/>
          <w:szCs w:val="28"/>
        </w:rPr>
      </w:pPr>
      <w:r w:rsidRPr="00067AA9">
        <w:rPr>
          <w:rFonts w:ascii="Arial" w:hAnsi="Arial" w:cs="Arial"/>
          <w:i/>
          <w:szCs w:val="20"/>
        </w:rPr>
        <w:t xml:space="preserve"> </w:t>
      </w:r>
    </w:p>
    <w:p w:rsidR="00E55990" w:rsidRPr="00067AA9" w:rsidRDefault="00067AA9" w:rsidP="00067AA9">
      <w:pPr>
        <w:spacing w:after="85" w:line="240" w:lineRule="auto"/>
        <w:ind w:left="0" w:right="496" w:firstLine="0"/>
        <w:rPr>
          <w:rFonts w:ascii="Arial" w:hAnsi="Arial" w:cs="Arial"/>
          <w:szCs w:val="20"/>
        </w:rPr>
      </w:pPr>
      <w:r w:rsidRPr="00067AA9">
        <w:rPr>
          <w:rFonts w:ascii="Arial" w:eastAsia="Calibri" w:hAnsi="Arial" w:cs="Arial"/>
          <w:b/>
          <w:sz w:val="28"/>
          <w:szCs w:val="28"/>
        </w:rPr>
        <w:t>D-M 04.04.0</w:t>
      </w:r>
      <w:r>
        <w:rPr>
          <w:rFonts w:ascii="Arial" w:eastAsia="Calibri" w:hAnsi="Arial" w:cs="Arial"/>
          <w:b/>
          <w:sz w:val="28"/>
          <w:szCs w:val="28"/>
        </w:rPr>
        <w:t>3</w:t>
      </w:r>
      <w:r w:rsidRPr="00067AA9">
        <w:rPr>
          <w:rFonts w:ascii="Arial" w:eastAsia="Calibri" w:hAnsi="Arial" w:cs="Arial"/>
          <w:b/>
          <w:sz w:val="28"/>
          <w:szCs w:val="28"/>
        </w:rPr>
        <w:t xml:space="preserve"> – Podbudowa z mieszanki niezwiązanej z kruszywem łamanym -31,5</w:t>
      </w:r>
      <w:r>
        <w:rPr>
          <w:rFonts w:ascii="Arial" w:eastAsia="Calibri" w:hAnsi="Arial" w:cs="Arial"/>
          <w:b/>
          <w:sz w:val="28"/>
          <w:szCs w:val="28"/>
        </w:rPr>
        <w:t xml:space="preserve"> – 63 </w:t>
      </w:r>
    </w:p>
    <w:p w:rsidR="00E55990" w:rsidRPr="00067AA9" w:rsidRDefault="00067AA9">
      <w:pPr>
        <w:spacing w:after="0" w:line="240" w:lineRule="auto"/>
        <w:ind w:left="0" w:firstLine="0"/>
        <w:jc w:val="center"/>
        <w:rPr>
          <w:rFonts w:ascii="Arial" w:hAnsi="Arial" w:cs="Arial"/>
          <w:szCs w:val="20"/>
        </w:rPr>
      </w:pPr>
      <w:r w:rsidRPr="00067AA9">
        <w:rPr>
          <w:rFonts w:ascii="Arial" w:eastAsia="Calibri" w:hAnsi="Arial" w:cs="Arial"/>
          <w:i/>
          <w:szCs w:val="20"/>
        </w:rPr>
        <w:t xml:space="preserve"> </w:t>
      </w:r>
    </w:p>
    <w:p w:rsidR="00E55990" w:rsidRPr="00067AA9" w:rsidRDefault="00067AA9" w:rsidP="00067AA9">
      <w:pPr>
        <w:spacing w:after="6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i/>
          <w:szCs w:val="20"/>
        </w:rPr>
        <w:t xml:space="preserve"> </w:t>
      </w:r>
      <w:r w:rsidRPr="00067AA9">
        <w:rPr>
          <w:rFonts w:ascii="Arial" w:eastAsia="Calibri" w:hAnsi="Arial" w:cs="Arial"/>
          <w:i/>
          <w:szCs w:val="20"/>
        </w:rPr>
        <w:t xml:space="preserve"> </w:t>
      </w:r>
    </w:p>
    <w:p w:rsidR="00E55990" w:rsidRPr="00067AA9" w:rsidRDefault="00067AA9">
      <w:pPr>
        <w:pStyle w:val="Nagwek1"/>
        <w:spacing w:after="240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1. WSTĘP </w:t>
      </w:r>
    </w:p>
    <w:p w:rsidR="00E55990" w:rsidRPr="00067AA9" w:rsidRDefault="00067AA9">
      <w:pPr>
        <w:pStyle w:val="Nagwek1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1.1.Przedmiot ST </w:t>
      </w:r>
    </w:p>
    <w:p w:rsidR="00E55990" w:rsidRPr="00067AA9" w:rsidRDefault="00067AA9">
      <w:pPr>
        <w:spacing w:after="12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>Przedmiotem niniejszej szczegółowej specyfikacji technicznej (SST) są wymagania dotyczące wykonania i odbioru robót związanych z wykonaniem podbudów z tłucznia kamiennego</w:t>
      </w:r>
      <w:r w:rsidRPr="00067AA9">
        <w:rPr>
          <w:rFonts w:ascii="Arial" w:hAnsi="Arial" w:cs="Arial"/>
          <w:szCs w:val="20"/>
        </w:rPr>
        <w:t xml:space="preserve">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1.2. Zakres stosowania SST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Szczegółowa specyfikacja techniczna (SST) stosowana jest jako dokument przetargowy i kontraktowy przy zlecaniu i realizacji robót opisanych w punkcie 1.1 niniejszej SST.  </w:t>
      </w:r>
    </w:p>
    <w:p w:rsidR="00E55990" w:rsidRPr="00067AA9" w:rsidRDefault="00067AA9">
      <w:pPr>
        <w:spacing w:after="156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>1.3. Zakre</w:t>
      </w:r>
      <w:r w:rsidRPr="00067AA9">
        <w:rPr>
          <w:rFonts w:ascii="Arial" w:hAnsi="Arial" w:cs="Arial"/>
          <w:szCs w:val="20"/>
        </w:rPr>
        <w:t xml:space="preserve">s robót objętych SST </w:t>
      </w:r>
    </w:p>
    <w:p w:rsidR="00E55990" w:rsidRPr="00067AA9" w:rsidRDefault="00067AA9">
      <w:pPr>
        <w:ind w:right="1068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 </w:t>
      </w:r>
      <w:r w:rsidRPr="00067AA9">
        <w:rPr>
          <w:rFonts w:ascii="Arial" w:hAnsi="Arial" w:cs="Arial"/>
          <w:b/>
          <w:szCs w:val="20"/>
        </w:rPr>
        <w:tab/>
      </w:r>
      <w:r w:rsidRPr="00067AA9">
        <w:rPr>
          <w:rFonts w:ascii="Arial" w:hAnsi="Arial" w:cs="Arial"/>
          <w:szCs w:val="20"/>
        </w:rPr>
        <w:t xml:space="preserve">Ustalenia zawarte w niniejszej specyfikacji dotyczą zasad prowadzenia robót związanych  z wykonywaniem podbudów z tłucznia kamiennego. </w:t>
      </w:r>
    </w:p>
    <w:p w:rsidR="00E55990" w:rsidRPr="00067AA9" w:rsidRDefault="00067AA9">
      <w:pPr>
        <w:spacing w:after="161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Podbudowę z tłucznia kamiennego wykonuje się, zgodnie z ustaleniami podanymi w dokumentacji projektowej.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1.4. Określenia podstawowe </w:t>
      </w:r>
    </w:p>
    <w:p w:rsidR="00E55990" w:rsidRPr="00067AA9" w:rsidRDefault="00067AA9">
      <w:pPr>
        <w:spacing w:after="15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1.4.1. </w:t>
      </w:r>
      <w:r w:rsidRPr="00067AA9">
        <w:rPr>
          <w:rFonts w:ascii="Arial" w:hAnsi="Arial" w:cs="Arial"/>
          <w:szCs w:val="20"/>
        </w:rPr>
        <w:t>Podbudowa z tłucznia kamiennego - część konstrukcji nawierzchni składająca się z jednej lub więcej warstw nośnych</w:t>
      </w:r>
      <w:r w:rsidRPr="00067AA9">
        <w:rPr>
          <w:rFonts w:ascii="Arial" w:hAnsi="Arial" w:cs="Arial"/>
          <w:szCs w:val="20"/>
        </w:rPr>
        <w:t xml:space="preserve"> z tłucznia i klińca kamiennego. </w:t>
      </w:r>
    </w:p>
    <w:p w:rsidR="00E55990" w:rsidRPr="00067AA9" w:rsidRDefault="00067AA9">
      <w:pPr>
        <w:spacing w:after="16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1.4.2. </w:t>
      </w:r>
      <w:r w:rsidRPr="00067AA9">
        <w:rPr>
          <w:rFonts w:ascii="Arial" w:hAnsi="Arial" w:cs="Arial"/>
          <w:szCs w:val="20"/>
        </w:rPr>
        <w:t xml:space="preserve">Pozostałe określenia są zgodne z obowiązującymi, odpowiednimi polskimi normami i z definicjami podanymi w ST „Wymagania ogólne”.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1.5. Ogólne wymagania dotyczące robót </w:t>
      </w:r>
    </w:p>
    <w:p w:rsidR="00E55990" w:rsidRPr="00067AA9" w:rsidRDefault="00067AA9">
      <w:pPr>
        <w:spacing w:after="28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>Ogólne wymagania dotyczące robót podano w S</w:t>
      </w:r>
      <w:r w:rsidRPr="00067AA9">
        <w:rPr>
          <w:rFonts w:ascii="Arial" w:hAnsi="Arial" w:cs="Arial"/>
          <w:szCs w:val="20"/>
        </w:rPr>
        <w:t xml:space="preserve">T „Wymagania ogólne”.  </w:t>
      </w:r>
    </w:p>
    <w:p w:rsidR="00E55990" w:rsidRPr="00067AA9" w:rsidRDefault="00067AA9">
      <w:pPr>
        <w:pStyle w:val="Nagwek1"/>
        <w:spacing w:after="28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2. MATERIAŁY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2.1. Ogólne wymagania dotyczące materiałów </w:t>
      </w:r>
    </w:p>
    <w:p w:rsidR="00E55990" w:rsidRPr="00067AA9" w:rsidRDefault="00067AA9">
      <w:pPr>
        <w:spacing w:after="16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Ogólne wymagania dotyczące materiałów, ich pozyskiwania i składowania podano w ST „Wymagania ogólne”.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2.2. Rodzaje materiałów </w:t>
      </w:r>
    </w:p>
    <w:p w:rsidR="00E55990" w:rsidRPr="00067AA9" w:rsidRDefault="00067AA9">
      <w:pPr>
        <w:spacing w:after="125"/>
        <w:ind w:right="887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Materiałami stosowanymi przy wykonywaniu </w:t>
      </w:r>
      <w:r w:rsidRPr="00067AA9">
        <w:rPr>
          <w:rFonts w:ascii="Arial" w:hAnsi="Arial" w:cs="Arial"/>
          <w:szCs w:val="20"/>
        </w:rPr>
        <w:t xml:space="preserve">podbudowy z tłucznia, wg PN-S-96023 [9], są: </w:t>
      </w:r>
      <w:r w:rsidRPr="00067AA9">
        <w:rPr>
          <w:rFonts w:ascii="Arial" w:eastAsia="Segoe UI Symbol" w:hAnsi="Arial" w:cs="Arial"/>
          <w:szCs w:val="20"/>
        </w:rPr>
        <w:t></w:t>
      </w:r>
      <w:r w:rsidRPr="00067AA9">
        <w:rPr>
          <w:rFonts w:ascii="Arial" w:eastAsia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 xml:space="preserve">kruszywo łamane zwykłe: tłuczeń i kliniec, wg PN-B-11112 [8], </w:t>
      </w:r>
      <w:r w:rsidRPr="00067AA9">
        <w:rPr>
          <w:rFonts w:ascii="Arial" w:eastAsia="Segoe UI Symbol" w:hAnsi="Arial" w:cs="Arial"/>
          <w:szCs w:val="20"/>
        </w:rPr>
        <w:t></w:t>
      </w:r>
      <w:r w:rsidRPr="00067AA9">
        <w:rPr>
          <w:rFonts w:ascii="Arial" w:eastAsia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 xml:space="preserve">woda do skropienia podczas wałowania i klinowania.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2.3. Wymagania dla kruszyw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>Do wykonania podbudowy należy użyć następujące rodzaje kruszywa</w:t>
      </w:r>
      <w:r w:rsidRPr="00067AA9">
        <w:rPr>
          <w:rFonts w:ascii="Arial" w:hAnsi="Arial" w:cs="Arial"/>
          <w:szCs w:val="20"/>
        </w:rPr>
        <w:t xml:space="preserve">, według PN-B-11112 [8]: </w:t>
      </w:r>
    </w:p>
    <w:p w:rsidR="00E55990" w:rsidRPr="00067AA9" w:rsidRDefault="00067AA9">
      <w:pPr>
        <w:numPr>
          <w:ilvl w:val="0"/>
          <w:numId w:val="2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tłuczeń od 31,5 mm do 63 mm,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Inżynier może dopuścić do wykonania podbudowy inne rodzaje kruszywa, wybrane spośród wymienionych w PN-S-96023 [9], dla których wymagania zostaną określone w SST.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Jakość kruszywa powinna być zgodna z wymaganiami normy PN-B-11112 [8], określonymi dla: </w:t>
      </w:r>
    </w:p>
    <w:p w:rsidR="00E55990" w:rsidRPr="00067AA9" w:rsidRDefault="00067AA9">
      <w:pPr>
        <w:numPr>
          <w:ilvl w:val="0"/>
          <w:numId w:val="2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klasy co najmniej II     - dla podbudowy zasadniczej, </w:t>
      </w:r>
    </w:p>
    <w:p w:rsidR="00E55990" w:rsidRPr="00067AA9" w:rsidRDefault="00067AA9">
      <w:pPr>
        <w:numPr>
          <w:ilvl w:val="0"/>
          <w:numId w:val="2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klasy II i III  </w:t>
      </w:r>
      <w:r w:rsidRPr="00067AA9">
        <w:rPr>
          <w:rFonts w:ascii="Arial" w:hAnsi="Arial" w:cs="Arial"/>
          <w:szCs w:val="20"/>
        </w:rPr>
        <w:tab/>
        <w:t xml:space="preserve">- dla podbudowy pomocniczej.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Do jednowarstwowych podbudów lub podbudowy zasadniczej należy </w:t>
      </w:r>
      <w:r w:rsidRPr="00067AA9">
        <w:rPr>
          <w:rFonts w:ascii="Arial" w:hAnsi="Arial" w:cs="Arial"/>
          <w:szCs w:val="20"/>
        </w:rPr>
        <w:t xml:space="preserve">stosować kruszywo gatunku co najmniej 2.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Wymagania dla kruszywa przedstawiono w tablicach 1 i 2 niniejszej specyfikacji </w:t>
      </w:r>
    </w:p>
    <w:p w:rsidR="00E55990" w:rsidRPr="00067AA9" w:rsidRDefault="00067AA9" w:rsidP="00067AA9">
      <w:pPr>
        <w:spacing w:after="3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lastRenderedPageBreak/>
        <w:t xml:space="preserve"> </w:t>
      </w:r>
      <w:bookmarkStart w:id="0" w:name="_GoBack"/>
      <w:bookmarkEnd w:id="0"/>
    </w:p>
    <w:p w:rsidR="00E55990" w:rsidRPr="00067AA9" w:rsidRDefault="00067AA9">
      <w:pPr>
        <w:spacing w:after="13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Tablica 1. Wymagania dla tłucznia i klińca, wg PN-B-11112 [8] </w:t>
      </w:r>
    </w:p>
    <w:tbl>
      <w:tblPr>
        <w:tblStyle w:val="TableGrid"/>
        <w:tblW w:w="7511" w:type="dxa"/>
        <w:tblInd w:w="-69" w:type="dxa"/>
        <w:tblCellMar>
          <w:top w:w="0" w:type="dxa"/>
          <w:left w:w="70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497"/>
        <w:gridCol w:w="5103"/>
        <w:gridCol w:w="956"/>
        <w:gridCol w:w="955"/>
      </w:tblGrid>
      <w:tr w:rsidR="00E55990" w:rsidRPr="00067AA9">
        <w:trPr>
          <w:trHeight w:val="507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41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Lp.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Właściwości 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Klasa II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55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Klasa III </w:t>
            </w:r>
          </w:p>
        </w:tc>
      </w:tr>
      <w:tr w:rsidR="00E55990" w:rsidRPr="00067AA9">
        <w:trPr>
          <w:trHeight w:val="497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5103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Ścieralność w bębnie Los Angeles, wg PN-B-06714-42 [7]: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a) po pełnej liczbie obrotów, % ubytku masy, nie więcej niż: </w:t>
            </w:r>
          </w:p>
        </w:tc>
        <w:tc>
          <w:tcPr>
            <w:tcW w:w="956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955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946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numPr>
                <w:ilvl w:val="0"/>
                <w:numId w:val="7"/>
              </w:numPr>
              <w:spacing w:after="28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tłuczniu </w:t>
            </w:r>
          </w:p>
          <w:p w:rsidR="00E55990" w:rsidRPr="00067AA9" w:rsidRDefault="00067AA9">
            <w:pPr>
              <w:numPr>
                <w:ilvl w:val="0"/>
                <w:numId w:val="7"/>
              </w:numPr>
              <w:spacing w:after="39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klińcu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b) po 1/5 pełnej liczby obrotów, % ubytku masy w stosunku     do ubytku masy po pełnej liczbie obrotów, nie więcej niż:   </w:t>
            </w:r>
          </w:p>
        </w:tc>
        <w:tc>
          <w:tcPr>
            <w:tcW w:w="9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35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40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30 </w:t>
            </w:r>
          </w:p>
        </w:tc>
        <w:tc>
          <w:tcPr>
            <w:tcW w:w="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50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50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35 </w:t>
            </w:r>
          </w:p>
        </w:tc>
      </w:tr>
      <w:tr w:rsidR="00E55990" w:rsidRPr="00067AA9">
        <w:trPr>
          <w:trHeight w:val="48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2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Nasiąkliwość, wg PN-B-06714-18 [4], % m/m, nie więcej niż: 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475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numPr>
                <w:ilvl w:val="0"/>
                <w:numId w:val="8"/>
              </w:numPr>
              <w:spacing w:after="41" w:line="240" w:lineRule="auto"/>
              <w:ind w:hanging="218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dla kruszyw ze skał magmowych i przeobrażonych </w:t>
            </w:r>
          </w:p>
          <w:p w:rsidR="00E55990" w:rsidRPr="00067AA9" w:rsidRDefault="00067AA9">
            <w:pPr>
              <w:numPr>
                <w:ilvl w:val="0"/>
                <w:numId w:val="8"/>
              </w:numPr>
              <w:spacing w:after="0" w:line="276" w:lineRule="auto"/>
              <w:ind w:hanging="218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dla kruszyw ze skał osadowych </w:t>
            </w:r>
          </w:p>
        </w:tc>
        <w:tc>
          <w:tcPr>
            <w:tcW w:w="9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2,0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3,0 </w:t>
            </w:r>
          </w:p>
        </w:tc>
        <w:tc>
          <w:tcPr>
            <w:tcW w:w="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3,0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5,0 </w:t>
            </w:r>
          </w:p>
        </w:tc>
      </w:tr>
      <w:tr w:rsidR="00E55990" w:rsidRPr="00067AA9">
        <w:trPr>
          <w:trHeight w:val="48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Odporność na działanie mrozu, wg PN-B-06714-19 [5], % ubytku masy, nie więcej niż: 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476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numPr>
                <w:ilvl w:val="0"/>
                <w:numId w:val="9"/>
              </w:numPr>
              <w:spacing w:after="41" w:line="240" w:lineRule="auto"/>
              <w:ind w:hanging="218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dla kruszyw ze skał magmowych i przeobrażonych </w:t>
            </w:r>
          </w:p>
          <w:p w:rsidR="00E55990" w:rsidRPr="00067AA9" w:rsidRDefault="00067AA9">
            <w:pPr>
              <w:numPr>
                <w:ilvl w:val="0"/>
                <w:numId w:val="9"/>
              </w:numPr>
              <w:spacing w:after="0" w:line="276" w:lineRule="auto"/>
              <w:ind w:hanging="218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dla kruszyw ze skał osadowych </w:t>
            </w:r>
          </w:p>
        </w:tc>
        <w:tc>
          <w:tcPr>
            <w:tcW w:w="9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4,0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5,0 </w:t>
            </w:r>
          </w:p>
        </w:tc>
        <w:tc>
          <w:tcPr>
            <w:tcW w:w="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10,0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10,0 </w:t>
            </w:r>
          </w:p>
        </w:tc>
      </w:tr>
      <w:tr w:rsidR="00E55990" w:rsidRPr="00067AA9">
        <w:trPr>
          <w:trHeight w:val="71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Odporność na działanie mrozu według zmodyfikowanej metody bezpośredniej, wg PN-B-06714-19 [5] i PN-B-11112 [8], % ubytku masy, nie więcej niż: 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475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numPr>
                <w:ilvl w:val="0"/>
                <w:numId w:val="10"/>
              </w:numPr>
              <w:spacing w:after="35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klińcu </w:t>
            </w:r>
          </w:p>
          <w:p w:rsidR="00E55990" w:rsidRPr="00067AA9" w:rsidRDefault="00067AA9">
            <w:pPr>
              <w:numPr>
                <w:ilvl w:val="0"/>
                <w:numId w:val="10"/>
              </w:numPr>
              <w:spacing w:after="0" w:line="276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tłuczniu </w:t>
            </w:r>
          </w:p>
        </w:tc>
        <w:tc>
          <w:tcPr>
            <w:tcW w:w="9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29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30 </w:t>
            </w:r>
          </w:p>
          <w:p w:rsidR="00E55990" w:rsidRPr="00067AA9" w:rsidRDefault="00067AA9">
            <w:pPr>
              <w:spacing w:after="0" w:line="276" w:lineRule="auto"/>
              <w:ind w:left="26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nie bada się</w:t>
            </w: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nie bada się nie bada się</w:t>
            </w: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</w:tbl>
    <w:p w:rsidR="00E55990" w:rsidRPr="00067AA9" w:rsidRDefault="00067AA9">
      <w:pPr>
        <w:spacing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spacing w:after="132"/>
        <w:ind w:right="161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Tablica 2. Wymagania dla tłucznia i klińca w zależności od warstwy podbudowy                  tłuczniowej, wg PN-B-11112 [8] </w:t>
      </w:r>
    </w:p>
    <w:tbl>
      <w:tblPr>
        <w:tblStyle w:val="TableGrid"/>
        <w:tblW w:w="7511" w:type="dxa"/>
        <w:tblInd w:w="-69" w:type="dxa"/>
        <w:tblCellMar>
          <w:top w:w="0" w:type="dxa"/>
          <w:left w:w="70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489"/>
        <w:gridCol w:w="4161"/>
        <w:gridCol w:w="1564"/>
        <w:gridCol w:w="1297"/>
      </w:tblGrid>
      <w:tr w:rsidR="00E55990" w:rsidRPr="00067AA9">
        <w:trPr>
          <w:trHeight w:val="79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41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Lp. 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40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Właściwości 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Podbudowa jednowarstwowa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lub podbudowa zasadnicza</w:t>
            </w: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Podbudowa pomocnicza </w:t>
            </w: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732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4393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41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Uziarnienie, wg PN-B-06714-15 [2]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a) zawartość </w:t>
            </w:r>
            <w:proofErr w:type="spellStart"/>
            <w:r w:rsidRPr="00067AA9">
              <w:rPr>
                <w:rFonts w:ascii="Arial" w:hAnsi="Arial" w:cs="Arial"/>
                <w:szCs w:val="20"/>
              </w:rPr>
              <w:t>ziarn</w:t>
            </w:r>
            <w:proofErr w:type="spellEnd"/>
            <w:r w:rsidRPr="00067AA9">
              <w:rPr>
                <w:rFonts w:ascii="Arial" w:hAnsi="Arial" w:cs="Arial"/>
                <w:szCs w:val="20"/>
              </w:rPr>
              <w:t xml:space="preserve"> mnie</w:t>
            </w:r>
            <w:r>
              <w:rPr>
                <w:rFonts w:ascii="Arial" w:hAnsi="Arial" w:cs="Arial"/>
                <w:szCs w:val="20"/>
              </w:rPr>
              <w:t>jszych niż 0,075 mm, odsia</w:t>
            </w:r>
            <w:r w:rsidRPr="00067AA9">
              <w:rPr>
                <w:rFonts w:ascii="Arial" w:hAnsi="Arial" w:cs="Arial"/>
                <w:szCs w:val="20"/>
              </w:rPr>
              <w:t xml:space="preserve">nych na mokro, % m/m, nie więcej niż: </w:t>
            </w:r>
          </w:p>
        </w:tc>
        <w:tc>
          <w:tcPr>
            <w:tcW w:w="1311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doub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2122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43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numPr>
                <w:ilvl w:val="0"/>
                <w:numId w:val="11"/>
              </w:numPr>
              <w:spacing w:after="28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tłuczniu </w:t>
            </w:r>
          </w:p>
          <w:p w:rsidR="00E55990" w:rsidRPr="00067AA9" w:rsidRDefault="00067AA9">
            <w:pPr>
              <w:numPr>
                <w:ilvl w:val="0"/>
                <w:numId w:val="11"/>
              </w:numPr>
              <w:spacing w:after="41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klińcu </w:t>
            </w:r>
          </w:p>
          <w:p w:rsidR="00E55990" w:rsidRPr="00067AA9" w:rsidRDefault="00067AA9">
            <w:pPr>
              <w:numPr>
                <w:ilvl w:val="0"/>
                <w:numId w:val="12"/>
              </w:numPr>
              <w:spacing w:after="35" w:line="240" w:lineRule="auto"/>
              <w:ind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frakcji podstawowej, % m/m, nie     mniej niż: </w:t>
            </w:r>
          </w:p>
          <w:p w:rsidR="00E55990" w:rsidRPr="00067AA9" w:rsidRDefault="00067AA9">
            <w:pPr>
              <w:numPr>
                <w:ilvl w:val="1"/>
                <w:numId w:val="12"/>
              </w:numPr>
              <w:spacing w:after="41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tłuczniu i w klińcu </w:t>
            </w:r>
          </w:p>
          <w:p w:rsidR="00E55990" w:rsidRPr="00067AA9" w:rsidRDefault="00067AA9">
            <w:pPr>
              <w:numPr>
                <w:ilvl w:val="0"/>
                <w:numId w:val="12"/>
              </w:numPr>
              <w:spacing w:after="35" w:line="240" w:lineRule="auto"/>
              <w:ind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podziarna, % m/m, nie więcej niż: </w:t>
            </w:r>
          </w:p>
          <w:p w:rsidR="00E55990" w:rsidRPr="00067AA9" w:rsidRDefault="00067AA9">
            <w:pPr>
              <w:numPr>
                <w:ilvl w:val="1"/>
                <w:numId w:val="12"/>
              </w:numPr>
              <w:spacing w:after="41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tłuczniu i w klińcu </w:t>
            </w:r>
          </w:p>
          <w:p w:rsidR="00E55990" w:rsidRPr="00067AA9" w:rsidRDefault="00067AA9">
            <w:pPr>
              <w:numPr>
                <w:ilvl w:val="0"/>
                <w:numId w:val="12"/>
              </w:numPr>
              <w:spacing w:after="31" w:line="240" w:lineRule="auto"/>
              <w:ind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nadziarna, % m/m, nie więcej niż: </w:t>
            </w:r>
          </w:p>
          <w:p w:rsidR="00E55990" w:rsidRPr="00067AA9" w:rsidRDefault="00067AA9">
            <w:pPr>
              <w:numPr>
                <w:ilvl w:val="1"/>
                <w:numId w:val="12"/>
              </w:numPr>
              <w:spacing w:after="0" w:line="276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tłuczniu i w klińcu </w:t>
            </w:r>
          </w:p>
        </w:tc>
        <w:tc>
          <w:tcPr>
            <w:tcW w:w="13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75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15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15 </w:t>
            </w:r>
          </w:p>
        </w:tc>
        <w:tc>
          <w:tcPr>
            <w:tcW w:w="13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5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65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25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20 </w:t>
            </w:r>
          </w:p>
        </w:tc>
      </w:tr>
      <w:tr w:rsidR="00E55990" w:rsidRPr="00067AA9">
        <w:trPr>
          <w:trHeight w:val="48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2 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zanieczyszczeń obcych, wg PN-B-0671412 [1], % m/m, nie więcej niż: 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240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43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- w tłuczniu i w klińcu </w:t>
            </w:r>
          </w:p>
        </w:tc>
        <w:tc>
          <w:tcPr>
            <w:tcW w:w="13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0,2 </w:t>
            </w:r>
          </w:p>
        </w:tc>
        <w:tc>
          <w:tcPr>
            <w:tcW w:w="13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0,3 </w:t>
            </w:r>
          </w:p>
        </w:tc>
      </w:tr>
      <w:tr w:rsidR="00E55990" w:rsidRPr="00067AA9">
        <w:trPr>
          <w:trHeight w:val="48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 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</w:t>
            </w:r>
            <w:proofErr w:type="spellStart"/>
            <w:r w:rsidRPr="00067AA9">
              <w:rPr>
                <w:rFonts w:ascii="Arial" w:hAnsi="Arial" w:cs="Arial"/>
                <w:szCs w:val="20"/>
              </w:rPr>
              <w:t>ziarn</w:t>
            </w:r>
            <w:proofErr w:type="spellEnd"/>
            <w:r w:rsidRPr="00067AA9">
              <w:rPr>
                <w:rFonts w:ascii="Arial" w:hAnsi="Arial" w:cs="Arial"/>
                <w:szCs w:val="20"/>
              </w:rPr>
              <w:t xml:space="preserve"> nieforemnych, wg PN-B-06714-16 [3], % m/m, nie więcej niż: 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475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43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numPr>
                <w:ilvl w:val="0"/>
                <w:numId w:val="13"/>
              </w:numPr>
              <w:spacing w:after="21" w:line="240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tłuczniu </w:t>
            </w:r>
          </w:p>
          <w:p w:rsidR="00E55990" w:rsidRPr="00067AA9" w:rsidRDefault="00067AA9">
            <w:pPr>
              <w:numPr>
                <w:ilvl w:val="0"/>
                <w:numId w:val="13"/>
              </w:numPr>
              <w:spacing w:after="0" w:line="276" w:lineRule="auto"/>
              <w:ind w:hanging="115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klińcu </w:t>
            </w:r>
          </w:p>
        </w:tc>
        <w:tc>
          <w:tcPr>
            <w:tcW w:w="13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113" w:right="121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40 nie bada się </w:t>
            </w:r>
          </w:p>
        </w:tc>
        <w:tc>
          <w:tcPr>
            <w:tcW w:w="13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113" w:right="12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45 nie bada się </w:t>
            </w:r>
          </w:p>
        </w:tc>
      </w:tr>
      <w:tr w:rsidR="00E55990" w:rsidRPr="00067AA9">
        <w:trPr>
          <w:trHeight w:val="71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 </w:t>
            </w:r>
          </w:p>
        </w:tc>
        <w:tc>
          <w:tcPr>
            <w:tcW w:w="43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41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zanieczyszczeń organicznych, barwa cieczy wg PN-B-06714-26 [6]: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- w tłuczniu i w klińcu, barwa cieczy nie ciemniejsza  </w:t>
            </w:r>
          </w:p>
        </w:tc>
        <w:tc>
          <w:tcPr>
            <w:tcW w:w="262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240"/>
        </w:trPr>
        <w:tc>
          <w:tcPr>
            <w:tcW w:w="4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43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  niż: </w:t>
            </w:r>
          </w:p>
        </w:tc>
        <w:tc>
          <w:tcPr>
            <w:tcW w:w="262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wzorcowa </w:t>
            </w:r>
          </w:p>
        </w:tc>
      </w:tr>
    </w:tbl>
    <w:p w:rsidR="00E55990" w:rsidRPr="00067AA9" w:rsidRDefault="00067AA9">
      <w:pPr>
        <w:spacing w:after="125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2.4. Woda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Woda użyta przy wykonywaniu zagęszczania i klinowania podbudowy może być studzienna lub z wodociągu, bez specjalnych wymagań. </w:t>
      </w:r>
    </w:p>
    <w:p w:rsidR="00E55990" w:rsidRPr="00067AA9" w:rsidRDefault="00067AA9">
      <w:pPr>
        <w:pStyle w:val="Nagwek1"/>
        <w:spacing w:after="28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3. SPRZĘT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3.1. Ogólne wymagania dotyczące sprzętu </w:t>
      </w:r>
    </w:p>
    <w:p w:rsidR="00E55990" w:rsidRPr="00067AA9" w:rsidRDefault="00067AA9">
      <w:pPr>
        <w:spacing w:after="16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Ogólne wymagania dotyczące sprzętu podano w ST „Wymagania ogólne”.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3.2. </w:t>
      </w:r>
      <w:r w:rsidRPr="00067AA9">
        <w:rPr>
          <w:rFonts w:ascii="Arial" w:hAnsi="Arial" w:cs="Arial"/>
          <w:szCs w:val="20"/>
        </w:rPr>
        <w:t xml:space="preserve">Sprzęt do wykonania robót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Wykonawca przystępujący do wykonania podbudowy z tłucznia kamiennego powinien wykazać się możliwością korzystania z następującego sprzętu: </w:t>
      </w:r>
    </w:p>
    <w:p w:rsidR="00E55990" w:rsidRPr="00067AA9" w:rsidRDefault="00067AA9">
      <w:pPr>
        <w:numPr>
          <w:ilvl w:val="0"/>
          <w:numId w:val="3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równiarek lub układarek kruszywa do rozkładania tłucznia i klińca, </w:t>
      </w:r>
    </w:p>
    <w:p w:rsidR="00E55990" w:rsidRPr="00067AA9" w:rsidRDefault="00067AA9">
      <w:pPr>
        <w:numPr>
          <w:ilvl w:val="0"/>
          <w:numId w:val="3"/>
        </w:numPr>
        <w:ind w:hanging="283"/>
        <w:rPr>
          <w:rFonts w:ascii="Arial" w:hAnsi="Arial" w:cs="Arial"/>
          <w:szCs w:val="20"/>
        </w:rPr>
      </w:pPr>
      <w:proofErr w:type="spellStart"/>
      <w:r w:rsidRPr="00067AA9">
        <w:rPr>
          <w:rFonts w:ascii="Arial" w:hAnsi="Arial" w:cs="Arial"/>
          <w:szCs w:val="20"/>
        </w:rPr>
        <w:t>rozsypywarek</w:t>
      </w:r>
      <w:proofErr w:type="spellEnd"/>
      <w:r w:rsidRPr="00067AA9">
        <w:rPr>
          <w:rFonts w:ascii="Arial" w:hAnsi="Arial" w:cs="Arial"/>
          <w:szCs w:val="20"/>
        </w:rPr>
        <w:t xml:space="preserve"> kruszyw</w:t>
      </w:r>
      <w:r w:rsidRPr="00067AA9">
        <w:rPr>
          <w:rFonts w:ascii="Arial" w:hAnsi="Arial" w:cs="Arial"/>
          <w:szCs w:val="20"/>
        </w:rPr>
        <w:t xml:space="preserve">a do rozłożenia klińca, </w:t>
      </w:r>
    </w:p>
    <w:p w:rsidR="00E55990" w:rsidRPr="00067AA9" w:rsidRDefault="00067AA9">
      <w:pPr>
        <w:numPr>
          <w:ilvl w:val="0"/>
          <w:numId w:val="3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walców statycznych gładkich do zagęszczania kruszywa grubego, </w:t>
      </w:r>
    </w:p>
    <w:p w:rsidR="00E55990" w:rsidRPr="00067AA9" w:rsidRDefault="00067AA9">
      <w:pPr>
        <w:numPr>
          <w:ilvl w:val="0"/>
          <w:numId w:val="3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walców wibracyjnych lub wibracyjnych zagęszczarek płytowych do klinowania kruszywa grubego klińcem, </w:t>
      </w:r>
    </w:p>
    <w:p w:rsidR="00E55990" w:rsidRPr="00067AA9" w:rsidRDefault="00067AA9">
      <w:pPr>
        <w:numPr>
          <w:ilvl w:val="0"/>
          <w:numId w:val="3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szczotek mechanicznych do usunięcia nadmiaru klińca, </w:t>
      </w:r>
    </w:p>
    <w:p w:rsidR="00E55990" w:rsidRPr="00067AA9" w:rsidRDefault="00067AA9">
      <w:pPr>
        <w:numPr>
          <w:ilvl w:val="0"/>
          <w:numId w:val="3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>walców ogumio</w:t>
      </w:r>
      <w:r w:rsidRPr="00067AA9">
        <w:rPr>
          <w:rFonts w:ascii="Arial" w:hAnsi="Arial" w:cs="Arial"/>
          <w:szCs w:val="20"/>
        </w:rPr>
        <w:t xml:space="preserve">nych lub stalowych gładkich do końcowego dogęszczenia, </w:t>
      </w:r>
    </w:p>
    <w:p w:rsidR="00E55990" w:rsidRPr="00067AA9" w:rsidRDefault="00067AA9">
      <w:pPr>
        <w:numPr>
          <w:ilvl w:val="0"/>
          <w:numId w:val="3"/>
        </w:numPr>
        <w:spacing w:after="245"/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przewoźnych zbiorników do wody zaopatrzonych w urządzenia do rozpryskiwania wody. </w:t>
      </w:r>
    </w:p>
    <w:p w:rsidR="00E55990" w:rsidRPr="00067AA9" w:rsidRDefault="00067AA9">
      <w:pPr>
        <w:pStyle w:val="Nagwek1"/>
        <w:spacing w:after="28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4. TRANSPORT </w:t>
      </w:r>
    </w:p>
    <w:p w:rsidR="00E55990" w:rsidRPr="00067AA9" w:rsidRDefault="00067AA9">
      <w:pPr>
        <w:pStyle w:val="Nagwek2"/>
        <w:spacing w:after="27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4.1. Ogólne wymagania dotyczące transportu </w:t>
      </w:r>
    </w:p>
    <w:p w:rsidR="00E55990" w:rsidRPr="00067AA9" w:rsidRDefault="00067AA9">
      <w:pPr>
        <w:spacing w:after="24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Ogólne wymagania dotyczące transportu podano w ST „Wymagania ogólne”.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4.2. Transport kruszywa </w:t>
      </w:r>
    </w:p>
    <w:p w:rsidR="00E55990" w:rsidRPr="00067AA9" w:rsidRDefault="00067AA9">
      <w:pPr>
        <w:spacing w:after="28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Kruszywa można przewozić dowolnymi środkami transportu w warunkach zabezpieczających je przed zanieczyszczeniem, zmieszaniem z innymi materiałami, nadmierny</w:t>
      </w:r>
      <w:r w:rsidRPr="00067AA9">
        <w:rPr>
          <w:rFonts w:ascii="Arial" w:hAnsi="Arial" w:cs="Arial"/>
          <w:szCs w:val="20"/>
        </w:rPr>
        <w:t xml:space="preserve">m wysuszeniem i zawilgoceniem. </w:t>
      </w:r>
    </w:p>
    <w:p w:rsidR="00E55990" w:rsidRPr="00067AA9" w:rsidRDefault="00067AA9">
      <w:pPr>
        <w:pStyle w:val="Nagwek1"/>
        <w:spacing w:after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5. WYKONANIE ROBÓT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5.1. Ogólne zasady wykonania robót </w:t>
      </w:r>
    </w:p>
    <w:p w:rsidR="00E55990" w:rsidRPr="00067AA9" w:rsidRDefault="00067AA9">
      <w:pPr>
        <w:spacing w:after="16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Ogólne zasady wykonania robót podano w ST  „Wymagania ogólne” 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5.2. Przygotowanie podłoża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Podbudowa tłuczniowa powinna być ułożona na podłożu zapewniającym niepr</w:t>
      </w:r>
      <w:r w:rsidRPr="00067AA9">
        <w:rPr>
          <w:rFonts w:ascii="Arial" w:hAnsi="Arial" w:cs="Arial"/>
          <w:szCs w:val="20"/>
        </w:rPr>
        <w:t xml:space="preserve">zenikanie drobnych cząstek gruntu do warstwy podbudowy. Na gruncie spoistym, pod podbudową tłuczniową powinna być ułożona warstwa odcinająca lub wykonane ulepszenie podłoża. </w:t>
      </w:r>
    </w:p>
    <w:p w:rsidR="00E55990" w:rsidRPr="00067AA9" w:rsidRDefault="00067AA9">
      <w:pPr>
        <w:spacing w:after="20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W przypadku zastosowania pomiędzy warstwą podbudowy tłuczniowej a spoistym grunt</w:t>
      </w:r>
      <w:r w:rsidRPr="00067AA9">
        <w:rPr>
          <w:rFonts w:ascii="Arial" w:hAnsi="Arial" w:cs="Arial"/>
          <w:szCs w:val="20"/>
        </w:rPr>
        <w:t xml:space="preserve">em podłoża warstwy odcinającej albo odsączającej, powinien być spełniony warunek nieprzenikania cząstek drobnych, wyrażony wzorem: </w:t>
      </w:r>
    </w:p>
    <w:p w:rsidR="00E55990" w:rsidRPr="00067AA9" w:rsidRDefault="00067AA9">
      <w:pPr>
        <w:spacing w:after="0" w:line="240" w:lineRule="auto"/>
        <w:ind w:left="2899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i/>
          <w:szCs w:val="20"/>
        </w:rPr>
        <w:t xml:space="preserve">D </w:t>
      </w:r>
      <w:r w:rsidRPr="00067AA9">
        <w:rPr>
          <w:rFonts w:ascii="Arial" w:hAnsi="Arial" w:cs="Arial"/>
          <w:szCs w:val="20"/>
          <w:vertAlign w:val="superscript"/>
        </w:rPr>
        <w:t>15</w:t>
      </w:r>
    </w:p>
    <w:p w:rsidR="00E55990" w:rsidRPr="00067AA9" w:rsidRDefault="00067AA9">
      <w:pPr>
        <w:spacing w:after="0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</w:r>
      <w:r w:rsidRPr="00067AA9">
        <w:rPr>
          <w:rFonts w:ascii="Arial" w:eastAsia="Segoe UI Symbol" w:hAnsi="Arial" w:cs="Arial"/>
          <w:szCs w:val="20"/>
        </w:rPr>
        <w:t></w:t>
      </w:r>
      <w:r w:rsidRPr="00067AA9">
        <w:rPr>
          <w:rFonts w:ascii="Arial" w:hAnsi="Arial" w:cs="Arial"/>
          <w:szCs w:val="20"/>
        </w:rPr>
        <w:t>15</w:t>
      </w: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spacing w:after="166" w:line="240" w:lineRule="auto"/>
        <w:ind w:left="2873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eastAsia="Calibri" w:hAnsi="Arial" w:cs="Arial"/>
          <w:noProof/>
          <w:szCs w:val="20"/>
        </w:rPr>
        <mc:AlternateContent>
          <mc:Choice Requires="wpg">
            <w:drawing>
              <wp:inline distT="0" distB="0" distL="0" distR="0">
                <wp:extent cx="197281" cy="6087"/>
                <wp:effectExtent l="0" t="0" r="0" b="0"/>
                <wp:docPr id="11646" name="Group 116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281" cy="6087"/>
                          <a:chOff x="0" y="0"/>
                          <a:chExt cx="197281" cy="6087"/>
                        </a:xfrm>
                      </wpg:grpSpPr>
                      <wps:wsp>
                        <wps:cNvPr id="874" name="Shape 874"/>
                        <wps:cNvSpPr/>
                        <wps:spPr>
                          <a:xfrm>
                            <a:off x="0" y="0"/>
                            <a:ext cx="1972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281">
                                <a:moveTo>
                                  <a:pt x="0" y="0"/>
                                </a:moveTo>
                                <a:lnTo>
                                  <a:pt x="197281" y="0"/>
                                </a:lnTo>
                              </a:path>
                            </a:pathLst>
                          </a:custGeom>
                          <a:ln w="608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0C78A" id="Group 11646" o:spid="_x0000_s1026" style="width:15.55pt;height:.5pt;mso-position-horizontal-relative:char;mso-position-vertical-relative:line" coordsize="197281,6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">
                <v:shape id="Shape 874" o:spid="_x0000_s1027" style="position:absolute;width:197281;height:0;visibility:visible;mso-wrap-style:square;v-text-anchor:top" coordsize="1972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XEPcMA&#10;AADcAAAADwAAAGRycy9kb3ducmV2LnhtbESPW2sCMRCF3wv+hzBC32rWIlZXo0ihVJAWvL0Pybi7&#10;uJksSarr/vpGEHw8nMvHmS9bW4sL+VA5VjAcZCCItTMVFwoO+6+3CYgQkQ3WjknBjQIsF72XOebG&#10;XXlLl10sRBrhkKOCMsYmlzLokiyGgWuIk3dy3mJM0hfSeLymcVvL9ywbS4sVJ0KJDX2WpM+7P5u4&#10;3XHsT13QXfjVo3YTp/b2/aPUa79dzUBEauMz/GivjYLJxwjuZ9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XEPcMAAADcAAAADwAAAAAAAAAAAAAAAACYAgAAZHJzL2Rv&#10;d25yZXYueG1sUEsFBgAAAAAEAAQA9QAAAIgDAAAAAA==&#10;" path="m,l197281,e" filled="f" strokeweight=".16908mm">
                  <v:path arrowok="t" textboxrect="0,0,197281,0"/>
                </v:shape>
                <w10:anchorlock/>
              </v:group>
            </w:pict>
          </mc:Fallback>
        </mc:AlternateContent>
      </w:r>
    </w:p>
    <w:p w:rsidR="00E55990" w:rsidRPr="00067AA9" w:rsidRDefault="00067AA9">
      <w:pPr>
        <w:spacing w:after="64" w:line="240" w:lineRule="auto"/>
        <w:ind w:left="2896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i/>
          <w:szCs w:val="20"/>
        </w:rPr>
        <w:lastRenderedPageBreak/>
        <w:t xml:space="preserve">d </w:t>
      </w:r>
      <w:r w:rsidRPr="00067AA9">
        <w:rPr>
          <w:rFonts w:ascii="Arial" w:hAnsi="Arial" w:cs="Arial"/>
          <w:szCs w:val="20"/>
        </w:rPr>
        <w:t>85</w:t>
      </w:r>
    </w:p>
    <w:p w:rsidR="00E55990" w:rsidRPr="00067AA9" w:rsidRDefault="00067AA9">
      <w:pPr>
        <w:spacing w:after="41"/>
        <w:ind w:right="2272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gdzie: </w:t>
      </w:r>
      <w:r w:rsidRPr="00067AA9">
        <w:rPr>
          <w:rFonts w:ascii="Arial" w:hAnsi="Arial" w:cs="Arial"/>
          <w:i/>
          <w:szCs w:val="20"/>
        </w:rPr>
        <w:t>D</w:t>
      </w:r>
      <w:r w:rsidRPr="00067AA9">
        <w:rPr>
          <w:rFonts w:ascii="Arial" w:hAnsi="Arial" w:cs="Arial"/>
          <w:szCs w:val="20"/>
          <w:vertAlign w:val="subscript"/>
        </w:rPr>
        <w:t>15</w:t>
      </w:r>
      <w:r w:rsidRPr="00067AA9">
        <w:rPr>
          <w:rFonts w:ascii="Arial" w:hAnsi="Arial" w:cs="Arial"/>
          <w:szCs w:val="20"/>
        </w:rPr>
        <w:t xml:space="preserve"> - wymiar sita, przez które przechodzi 15% </w:t>
      </w:r>
      <w:proofErr w:type="spellStart"/>
      <w:r w:rsidRPr="00067AA9">
        <w:rPr>
          <w:rFonts w:ascii="Arial" w:hAnsi="Arial" w:cs="Arial"/>
          <w:szCs w:val="20"/>
        </w:rPr>
        <w:t>ziarn</w:t>
      </w:r>
      <w:proofErr w:type="spellEnd"/>
      <w:r w:rsidRPr="00067AA9">
        <w:rPr>
          <w:rFonts w:ascii="Arial" w:hAnsi="Arial" w:cs="Arial"/>
          <w:szCs w:val="20"/>
        </w:rPr>
        <w:t xml:space="preserve"> warstwy odcinającej albo                     odsączającej,       </w:t>
      </w:r>
      <w:r w:rsidRPr="00067AA9">
        <w:rPr>
          <w:rFonts w:ascii="Arial" w:hAnsi="Arial" w:cs="Arial"/>
          <w:i/>
          <w:szCs w:val="20"/>
        </w:rPr>
        <w:t>d</w:t>
      </w:r>
      <w:r w:rsidRPr="00067AA9">
        <w:rPr>
          <w:rFonts w:ascii="Arial" w:hAnsi="Arial" w:cs="Arial"/>
          <w:szCs w:val="20"/>
          <w:vertAlign w:val="subscript"/>
        </w:rPr>
        <w:t xml:space="preserve">85 </w:t>
      </w:r>
      <w:r w:rsidRPr="00067AA9">
        <w:rPr>
          <w:rFonts w:ascii="Arial" w:hAnsi="Arial" w:cs="Arial"/>
          <w:szCs w:val="20"/>
        </w:rPr>
        <w:t xml:space="preserve"> - wymiar sita, przez które przechodzi 85% </w:t>
      </w:r>
      <w:proofErr w:type="spellStart"/>
      <w:r w:rsidRPr="00067AA9">
        <w:rPr>
          <w:rFonts w:ascii="Arial" w:hAnsi="Arial" w:cs="Arial"/>
          <w:szCs w:val="20"/>
        </w:rPr>
        <w:t>ziarn</w:t>
      </w:r>
      <w:proofErr w:type="spellEnd"/>
      <w:r w:rsidRPr="00067AA9">
        <w:rPr>
          <w:rFonts w:ascii="Arial" w:hAnsi="Arial" w:cs="Arial"/>
          <w:szCs w:val="20"/>
        </w:rPr>
        <w:t xml:space="preserve"> gruntu podłoża.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proofErr w:type="spellStart"/>
      <w:r w:rsidRPr="00067AA9">
        <w:rPr>
          <w:rFonts w:ascii="Arial" w:hAnsi="Arial" w:cs="Arial"/>
          <w:szCs w:val="20"/>
        </w:rPr>
        <w:t>Geowłókniny</w:t>
      </w:r>
      <w:proofErr w:type="spellEnd"/>
      <w:r w:rsidRPr="00067AA9">
        <w:rPr>
          <w:rFonts w:ascii="Arial" w:hAnsi="Arial" w:cs="Arial"/>
          <w:szCs w:val="20"/>
        </w:rPr>
        <w:t xml:space="preserve"> przewidziane do użycia pod podbudowę tłuczniową powinny pos</w:t>
      </w:r>
      <w:r w:rsidRPr="00067AA9">
        <w:rPr>
          <w:rFonts w:ascii="Arial" w:hAnsi="Arial" w:cs="Arial"/>
          <w:szCs w:val="20"/>
        </w:rPr>
        <w:t xml:space="preserve">iadać aprobatę techniczną wydaną przez uprawnioną jednostkę. W szczególności wymagana jest odpowiednia wytrzymałość mechaniczna </w:t>
      </w:r>
      <w:proofErr w:type="spellStart"/>
      <w:r w:rsidRPr="00067AA9">
        <w:rPr>
          <w:rFonts w:ascii="Arial" w:hAnsi="Arial" w:cs="Arial"/>
          <w:szCs w:val="20"/>
        </w:rPr>
        <w:t>geowłóknin</w:t>
      </w:r>
      <w:proofErr w:type="spellEnd"/>
      <w:r w:rsidRPr="00067AA9">
        <w:rPr>
          <w:rFonts w:ascii="Arial" w:hAnsi="Arial" w:cs="Arial"/>
          <w:szCs w:val="20"/>
        </w:rPr>
        <w:t xml:space="preserve">, uniemożliwiająca ich przebicie ziarna tłucznia oraz odpowiednie właściwości filtracyjne, dostosowane do uziarnienia </w:t>
      </w:r>
      <w:r w:rsidRPr="00067AA9">
        <w:rPr>
          <w:rFonts w:ascii="Arial" w:hAnsi="Arial" w:cs="Arial"/>
          <w:szCs w:val="20"/>
        </w:rPr>
        <w:t xml:space="preserve">podłoża gruntowego.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Podbudowa powinna być wytyczona w sposób umożliwiający jej wykonanie zgodnie z dokumentacją projektową lub według zaleceń Inżyniera, z tolerancjami określonymi w niniejszych specyfikacjach.  Paliki lub szpilki do prawidłowego ukształt</w:t>
      </w:r>
      <w:r w:rsidRPr="00067AA9">
        <w:rPr>
          <w:rFonts w:ascii="Arial" w:hAnsi="Arial" w:cs="Arial"/>
          <w:szCs w:val="20"/>
        </w:rPr>
        <w:t xml:space="preserve">owania podbudowy powinny być wcześniej przygotowane.  Paliki lub szpilki powinny być ustawione w osi drogi i w rzędach równoległych do osi drogi lub w inny sposób zaakceptowany przez Inżyniera.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Rozmieszczenie palików lub szpilek powinno umożliwiać naciąg</w:t>
      </w:r>
      <w:r w:rsidRPr="00067AA9">
        <w:rPr>
          <w:rFonts w:ascii="Arial" w:hAnsi="Arial" w:cs="Arial"/>
          <w:szCs w:val="20"/>
        </w:rPr>
        <w:t xml:space="preserve">nięcie sznurków lub linek do wytyczenia robót w odstępach nie większych niż co 10 m.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5.3. Wbudowywanie i zagęszczanie kruszywa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Minimalna grubość warstwy podbudowy z tłucznia nie może być po zagęszczeniu mniejsza od 1,5krotnego wymiaru największych </w:t>
      </w:r>
      <w:proofErr w:type="spellStart"/>
      <w:r w:rsidRPr="00067AA9">
        <w:rPr>
          <w:rFonts w:ascii="Arial" w:hAnsi="Arial" w:cs="Arial"/>
          <w:szCs w:val="20"/>
        </w:rPr>
        <w:t>ziarn</w:t>
      </w:r>
      <w:proofErr w:type="spellEnd"/>
      <w:r w:rsidRPr="00067AA9">
        <w:rPr>
          <w:rFonts w:ascii="Arial" w:hAnsi="Arial" w:cs="Arial"/>
          <w:szCs w:val="20"/>
        </w:rPr>
        <w:t xml:space="preserve"> tłucznia. Maksymalna grubość warstwy podbudowy po zagęszczeniu nie może przekraczać 20 cm. Podbudowę o grubości powyżej 20 cm należy wykonywać w dwóch warstwach.  Kruszywo grube powinno być rozłożone w warstwie o jednakowej grubości, przy użyciu układarki</w:t>
      </w:r>
      <w:r w:rsidRPr="00067AA9">
        <w:rPr>
          <w:rFonts w:ascii="Arial" w:hAnsi="Arial" w:cs="Arial"/>
          <w:szCs w:val="20"/>
        </w:rPr>
        <w:t xml:space="preserve"> albo równiarki. Grubość rozłożonej warstwy luźnego kruszywa powinna być taka, aby po jej zagęszczeniu i zaklinowaniu osiągnęła grubość projektowaną.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Kruszywo grube po rozłożeniu powinno być przywałowane dwoma przejściami walca statycznego, gładkiego o n</w:t>
      </w:r>
      <w:r w:rsidRPr="00067AA9">
        <w:rPr>
          <w:rFonts w:ascii="Arial" w:hAnsi="Arial" w:cs="Arial"/>
          <w:szCs w:val="20"/>
        </w:rPr>
        <w:t xml:space="preserve">acisku jednostkowym nie mniejszym niż 30 </w:t>
      </w:r>
      <w:proofErr w:type="spellStart"/>
      <w:r w:rsidRPr="00067AA9">
        <w:rPr>
          <w:rFonts w:ascii="Arial" w:hAnsi="Arial" w:cs="Arial"/>
          <w:szCs w:val="20"/>
        </w:rPr>
        <w:t>kN</w:t>
      </w:r>
      <w:proofErr w:type="spellEnd"/>
      <w:r w:rsidRPr="00067AA9">
        <w:rPr>
          <w:rFonts w:ascii="Arial" w:hAnsi="Arial" w:cs="Arial"/>
          <w:szCs w:val="20"/>
        </w:rPr>
        <w:t>/m. Zagęszczanie podbudowy o przekroju daszkowym powinno rozpocząć się od krawędzi i stopniowo przesuwać się pasami podłużnymi, częściowo nakładającymi się w kierunku osi jezdni. Zagęszczenie podbudowy o jednostro</w:t>
      </w:r>
      <w:r w:rsidRPr="00067AA9">
        <w:rPr>
          <w:rFonts w:ascii="Arial" w:hAnsi="Arial" w:cs="Arial"/>
          <w:szCs w:val="20"/>
        </w:rPr>
        <w:t xml:space="preserve">nnym spadku poprzecznym powinno rozpocząć się od dolnej krawędzi i przesuwać się pasami podłużnymi, częściowo nakładającymi się, w kierunku jej górnej krawędzi.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W przypadku wykonywania podbudowy zasadniczej, po przywałowaniu kruszywa grubego należy rozło</w:t>
      </w:r>
      <w:r w:rsidRPr="00067AA9">
        <w:rPr>
          <w:rFonts w:ascii="Arial" w:hAnsi="Arial" w:cs="Arial"/>
          <w:szCs w:val="20"/>
        </w:rPr>
        <w:t xml:space="preserve">żyć kruszywo drobne w równej warstwie, w celu zaklinowania kruszywa grubego. Do zagęszczania należy użyć walca wibracyjnego o nacisku jednostkowym co najmniej 18 </w:t>
      </w:r>
      <w:proofErr w:type="spellStart"/>
      <w:r w:rsidRPr="00067AA9">
        <w:rPr>
          <w:rFonts w:ascii="Arial" w:hAnsi="Arial" w:cs="Arial"/>
          <w:szCs w:val="20"/>
        </w:rPr>
        <w:t>kN</w:t>
      </w:r>
      <w:proofErr w:type="spellEnd"/>
      <w:r w:rsidRPr="00067AA9">
        <w:rPr>
          <w:rFonts w:ascii="Arial" w:hAnsi="Arial" w:cs="Arial"/>
          <w:szCs w:val="20"/>
        </w:rPr>
        <w:t xml:space="preserve">/m, albo płytową zagęszczarką wibracyjną o nacisku jednostkowym co najmniej 16 </w:t>
      </w:r>
      <w:proofErr w:type="spellStart"/>
      <w:r w:rsidRPr="00067AA9">
        <w:rPr>
          <w:rFonts w:ascii="Arial" w:hAnsi="Arial" w:cs="Arial"/>
          <w:szCs w:val="20"/>
        </w:rPr>
        <w:t>kN</w:t>
      </w:r>
      <w:proofErr w:type="spellEnd"/>
      <w:r w:rsidRPr="00067AA9">
        <w:rPr>
          <w:rFonts w:ascii="Arial" w:hAnsi="Arial" w:cs="Arial"/>
          <w:szCs w:val="20"/>
        </w:rPr>
        <w:t>/m</w:t>
      </w:r>
      <w:r w:rsidRPr="00067AA9">
        <w:rPr>
          <w:rFonts w:ascii="Arial" w:hAnsi="Arial" w:cs="Arial"/>
          <w:szCs w:val="20"/>
          <w:vertAlign w:val="superscript"/>
        </w:rPr>
        <w:t>2</w:t>
      </w:r>
      <w:r w:rsidRPr="00067AA9">
        <w:rPr>
          <w:rFonts w:ascii="Arial" w:hAnsi="Arial" w:cs="Arial"/>
          <w:szCs w:val="20"/>
        </w:rPr>
        <w:t>. Gruboś</w:t>
      </w:r>
      <w:r w:rsidRPr="00067AA9">
        <w:rPr>
          <w:rFonts w:ascii="Arial" w:hAnsi="Arial" w:cs="Arial"/>
          <w:szCs w:val="20"/>
        </w:rPr>
        <w:t xml:space="preserve">ć warstwy luźnego kruszywa drobnego powinna być taka, aby wszystkie przestrzenie warstwy kruszywa grubego zostały wypełnione kruszywem drobnym. Jeżeli to konieczne, operacje rozkładania i </w:t>
      </w:r>
      <w:proofErr w:type="spellStart"/>
      <w:r w:rsidRPr="00067AA9">
        <w:rPr>
          <w:rFonts w:ascii="Arial" w:hAnsi="Arial" w:cs="Arial"/>
          <w:szCs w:val="20"/>
        </w:rPr>
        <w:t>wwibrowywanie</w:t>
      </w:r>
      <w:proofErr w:type="spellEnd"/>
      <w:r w:rsidRPr="00067AA9">
        <w:rPr>
          <w:rFonts w:ascii="Arial" w:hAnsi="Arial" w:cs="Arial"/>
          <w:szCs w:val="20"/>
        </w:rPr>
        <w:t xml:space="preserve"> kruszywa drobnego należy powtarzać aż do chwili, gdy k</w:t>
      </w:r>
      <w:r w:rsidRPr="00067AA9">
        <w:rPr>
          <w:rFonts w:ascii="Arial" w:hAnsi="Arial" w:cs="Arial"/>
          <w:szCs w:val="20"/>
        </w:rPr>
        <w:t xml:space="preserve">ruszywo drobne przestanie penetrować warstwę kruszywa grubego.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Po zagęszczeniu cały nadmiar kruszywa drobnego należy usunąć z podbudowy szczotkami tak, aby ziarna kruszywa grubego wystawały nad powierzchnię od 3 do 6 mm. </w:t>
      </w:r>
    </w:p>
    <w:p w:rsidR="00E55990" w:rsidRPr="00067AA9" w:rsidRDefault="00067AA9">
      <w:pPr>
        <w:spacing w:after="166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Następnie warstwa powinna być p</w:t>
      </w:r>
      <w:r w:rsidRPr="00067AA9">
        <w:rPr>
          <w:rFonts w:ascii="Arial" w:hAnsi="Arial" w:cs="Arial"/>
          <w:szCs w:val="20"/>
        </w:rPr>
        <w:t xml:space="preserve">rzywałowana walcem statycznym gładkim o nacisku jednostkowym nie mniejszym niż 50 </w:t>
      </w:r>
      <w:proofErr w:type="spellStart"/>
      <w:r w:rsidRPr="00067AA9">
        <w:rPr>
          <w:rFonts w:ascii="Arial" w:hAnsi="Arial" w:cs="Arial"/>
          <w:szCs w:val="20"/>
        </w:rPr>
        <w:t>kN</w:t>
      </w:r>
      <w:proofErr w:type="spellEnd"/>
      <w:r w:rsidRPr="00067AA9">
        <w:rPr>
          <w:rFonts w:ascii="Arial" w:hAnsi="Arial" w:cs="Arial"/>
          <w:szCs w:val="20"/>
        </w:rPr>
        <w:t xml:space="preserve">/m, albo walcem ogumionym w celu dogęszczenia kruszywa poluzowanego w czasie szczotkowania.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5.4. Odcinek próbny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Jeżeli w SST przewidziano konieczność wykonania odcinka p</w:t>
      </w:r>
      <w:r w:rsidRPr="00067AA9">
        <w:rPr>
          <w:rFonts w:ascii="Arial" w:hAnsi="Arial" w:cs="Arial"/>
          <w:szCs w:val="20"/>
        </w:rPr>
        <w:t xml:space="preserve">róbnego, to co najmniej na 3 dni przed rozpoczęciem robót, Wykonawca powinien wykonać odcinek próbny w celu: </w:t>
      </w:r>
    </w:p>
    <w:p w:rsidR="00E55990" w:rsidRPr="00067AA9" w:rsidRDefault="00067AA9">
      <w:pPr>
        <w:numPr>
          <w:ilvl w:val="0"/>
          <w:numId w:val="4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stwierdzenia czy sprzęt budowlany do rozkładania i zagęszczania kruszywa jest właściwy, </w:t>
      </w:r>
    </w:p>
    <w:p w:rsidR="00E55990" w:rsidRPr="00067AA9" w:rsidRDefault="00067AA9">
      <w:pPr>
        <w:numPr>
          <w:ilvl w:val="0"/>
          <w:numId w:val="4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>określenia grubości warstwy materiału w stanie luźnym kon</w:t>
      </w:r>
      <w:r w:rsidRPr="00067AA9">
        <w:rPr>
          <w:rFonts w:ascii="Arial" w:hAnsi="Arial" w:cs="Arial"/>
          <w:szCs w:val="20"/>
        </w:rPr>
        <w:t xml:space="preserve">iecznej do uzyskania wymaganej grubości warstwy po zagęszczeniu, </w:t>
      </w:r>
    </w:p>
    <w:p w:rsidR="00E55990" w:rsidRPr="00067AA9" w:rsidRDefault="00067AA9">
      <w:pPr>
        <w:numPr>
          <w:ilvl w:val="0"/>
          <w:numId w:val="4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ustalenia liczby przejść sprzętu zagęszczającego, potrzebnej do uzyskania wymaganego wskaźnika zagęszczenia.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Na odcinku próbnym Wykonawca powinien użyć takich materiałów oraz sprzętu do ro</w:t>
      </w:r>
      <w:r w:rsidRPr="00067AA9">
        <w:rPr>
          <w:rFonts w:ascii="Arial" w:hAnsi="Arial" w:cs="Arial"/>
          <w:szCs w:val="20"/>
        </w:rPr>
        <w:t xml:space="preserve">zkładania i zagęszczania,  jakie będą stosowane do wykonania podbudowy.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Powierzchnia odcinka próbnego powinna wynosić od 400 m</w:t>
      </w:r>
      <w:r w:rsidRPr="00067AA9">
        <w:rPr>
          <w:rFonts w:ascii="Arial" w:hAnsi="Arial" w:cs="Arial"/>
          <w:szCs w:val="20"/>
          <w:vertAlign w:val="superscript"/>
        </w:rPr>
        <w:t>2</w:t>
      </w:r>
      <w:r w:rsidRPr="00067AA9">
        <w:rPr>
          <w:rFonts w:ascii="Arial" w:hAnsi="Arial" w:cs="Arial"/>
          <w:szCs w:val="20"/>
        </w:rPr>
        <w:t xml:space="preserve"> do 800 m</w:t>
      </w:r>
      <w:r w:rsidRPr="00067AA9">
        <w:rPr>
          <w:rFonts w:ascii="Arial" w:hAnsi="Arial" w:cs="Arial"/>
          <w:szCs w:val="20"/>
          <w:vertAlign w:val="superscript"/>
        </w:rPr>
        <w:t>2</w:t>
      </w:r>
      <w:r w:rsidRPr="00067AA9">
        <w:rPr>
          <w:rFonts w:ascii="Arial" w:hAnsi="Arial" w:cs="Arial"/>
          <w:szCs w:val="20"/>
        </w:rPr>
        <w:t xml:space="preserve">, a długość nie powinna być mniejsza niż 200 m.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>Odcinek próbny powinien być zlokalizowany w miejscu wskazanym prze</w:t>
      </w:r>
      <w:r w:rsidRPr="00067AA9">
        <w:rPr>
          <w:rFonts w:ascii="Arial" w:hAnsi="Arial" w:cs="Arial"/>
          <w:szCs w:val="20"/>
        </w:rPr>
        <w:t xml:space="preserve">z Inżyniera. </w:t>
      </w:r>
    </w:p>
    <w:p w:rsidR="00E55990" w:rsidRPr="00067AA9" w:rsidRDefault="00067AA9">
      <w:pPr>
        <w:spacing w:after="12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Wykonawca może przystąpić do wykonywania podbudowy po zaakceptowaniu odcinka próbnego przez Inżyniera. </w:t>
      </w:r>
      <w:r w:rsidRPr="00067AA9">
        <w:rPr>
          <w:rFonts w:ascii="Arial" w:hAnsi="Arial" w:cs="Arial"/>
          <w:szCs w:val="20"/>
        </w:rPr>
        <w:tab/>
        <w:t xml:space="preserve">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lastRenderedPageBreak/>
        <w:t xml:space="preserve">5.5. Utrzymanie podbudowy </w:t>
      </w:r>
    </w:p>
    <w:p w:rsidR="00E55990" w:rsidRPr="00067AA9" w:rsidRDefault="00067AA9">
      <w:pPr>
        <w:spacing w:after="28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Podbudowa po wykonaniu, a przed ułożeniem następnej warstwy, powinna być utrzymywana w dobrym stanie. Jeże</w:t>
      </w:r>
      <w:r w:rsidRPr="00067AA9">
        <w:rPr>
          <w:rFonts w:ascii="Arial" w:hAnsi="Arial" w:cs="Arial"/>
          <w:szCs w:val="20"/>
        </w:rPr>
        <w:t>li Wykonawca będzie wykorzystywał, za zgodą Inżyniera, gotową podbudowę do ruchu budowlanego, to jest obowiązany naprawić wszelkie uszkodzenia podbudowy, spowodowane przez ten ruch. Koszt napraw wynikłych z niewłaściwego utrzymania podbudowy obciąża Wykona</w:t>
      </w:r>
      <w:r w:rsidRPr="00067AA9">
        <w:rPr>
          <w:rFonts w:ascii="Arial" w:hAnsi="Arial" w:cs="Arial"/>
          <w:szCs w:val="20"/>
        </w:rPr>
        <w:t xml:space="preserve">wcę robót. </w:t>
      </w:r>
    </w:p>
    <w:p w:rsidR="00E55990" w:rsidRPr="00067AA9" w:rsidRDefault="00067AA9">
      <w:pPr>
        <w:pStyle w:val="Nagwek1"/>
        <w:spacing w:after="28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6. KONTROLA JAKOŚCI ROBÓT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6.1. Ogólne zasady kontroli jakości robót </w:t>
      </w:r>
    </w:p>
    <w:p w:rsidR="00E55990" w:rsidRPr="00067AA9" w:rsidRDefault="00067AA9">
      <w:pPr>
        <w:spacing w:after="16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Ogólne zasady kontroli jakości robót podano w ST „Wymagania ogólne”.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6.2. Badania przed przystąpieniem do robót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Przed przystąpieniem do robót Wykonawca powinien wykonać badania kruszyw przeznaczonych do wykonania robót i przedstawić wyniki tych badań Inżynierowi w celu akceptacji.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Badania te powinny obejmować wszystkie właściwości kruszywa określone w pkt 2.3 i t</w:t>
      </w:r>
      <w:r w:rsidRPr="00067AA9">
        <w:rPr>
          <w:rFonts w:ascii="Arial" w:hAnsi="Arial" w:cs="Arial"/>
          <w:szCs w:val="20"/>
        </w:rPr>
        <w:t xml:space="preserve">ablicach 1 i 2 niniejszych OST.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6.3. Badania w czasie robót </w:t>
      </w:r>
    </w:p>
    <w:p w:rsidR="00E55990" w:rsidRPr="00067AA9" w:rsidRDefault="00067AA9">
      <w:pPr>
        <w:spacing w:after="161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6.3.1. </w:t>
      </w:r>
      <w:r w:rsidRPr="00067AA9">
        <w:rPr>
          <w:rFonts w:ascii="Arial" w:hAnsi="Arial" w:cs="Arial"/>
          <w:szCs w:val="20"/>
        </w:rPr>
        <w:t xml:space="preserve">Częstotliwość oraz zakres badań i pomiarów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Częstotliwość oraz zakres badań podano w tablicy 3. </w:t>
      </w:r>
    </w:p>
    <w:p w:rsidR="00E55990" w:rsidRPr="00067AA9" w:rsidRDefault="00067AA9">
      <w:pPr>
        <w:spacing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spacing w:after="13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>Tablica 3.Częstotliwość oraz zakres badań przy budowie podbudowy z tłucznia kamiennego</w:t>
      </w:r>
      <w:r w:rsidRPr="00067AA9">
        <w:rPr>
          <w:rFonts w:ascii="Arial" w:hAnsi="Arial" w:cs="Arial"/>
          <w:szCs w:val="20"/>
        </w:rPr>
        <w:t xml:space="preserve"> </w:t>
      </w:r>
    </w:p>
    <w:tbl>
      <w:tblPr>
        <w:tblStyle w:val="TableGrid"/>
        <w:tblW w:w="7511" w:type="dxa"/>
        <w:tblInd w:w="-69" w:type="dxa"/>
        <w:tblCellMar>
          <w:top w:w="0" w:type="dxa"/>
          <w:left w:w="7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05"/>
        <w:gridCol w:w="4244"/>
        <w:gridCol w:w="1380"/>
        <w:gridCol w:w="1382"/>
      </w:tblGrid>
      <w:tr w:rsidR="00E55990" w:rsidRPr="00067AA9">
        <w:trPr>
          <w:trHeight w:val="250"/>
        </w:trPr>
        <w:tc>
          <w:tcPr>
            <w:tcW w:w="497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77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41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Lp. </w:t>
            </w:r>
          </w:p>
        </w:tc>
        <w:tc>
          <w:tcPr>
            <w:tcW w:w="4251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115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Wyszczególnienie badań </w:t>
            </w:r>
          </w:p>
        </w:tc>
        <w:tc>
          <w:tcPr>
            <w:tcW w:w="2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Częstotliwość badań </w:t>
            </w:r>
          </w:p>
        </w:tc>
      </w:tr>
      <w:tr w:rsidR="00E55990" w:rsidRPr="00067AA9">
        <w:trPr>
          <w:trHeight w:val="79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Minimalne ilości badań na dziennej działce roboczej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M</w:t>
            </w:r>
            <w:r>
              <w:rPr>
                <w:rFonts w:ascii="Arial" w:hAnsi="Arial" w:cs="Arial"/>
                <w:szCs w:val="20"/>
              </w:rPr>
              <w:t>aksymalna po- wierzchnia podbu</w:t>
            </w:r>
            <w:r w:rsidRPr="00067AA9">
              <w:rPr>
                <w:rFonts w:ascii="Arial" w:hAnsi="Arial" w:cs="Arial"/>
                <w:szCs w:val="20"/>
              </w:rPr>
              <w:t>dowy na jedno badanie (m</w:t>
            </w:r>
            <w:r w:rsidRPr="00067AA9">
              <w:rPr>
                <w:rFonts w:ascii="Arial" w:hAnsi="Arial" w:cs="Arial"/>
                <w:szCs w:val="20"/>
                <w:vertAlign w:val="superscript"/>
              </w:rPr>
              <w:t>2</w:t>
            </w:r>
            <w:r w:rsidRPr="00067AA9">
              <w:rPr>
                <w:rFonts w:ascii="Arial" w:hAnsi="Arial" w:cs="Arial"/>
                <w:szCs w:val="20"/>
              </w:rPr>
              <w:t xml:space="preserve">) </w:t>
            </w:r>
          </w:p>
        </w:tc>
      </w:tr>
      <w:tr w:rsidR="00E55990" w:rsidRPr="00067AA9">
        <w:trPr>
          <w:trHeight w:val="857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2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3 </w:t>
            </w:r>
          </w:p>
        </w:tc>
        <w:tc>
          <w:tcPr>
            <w:tcW w:w="425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Uziarnienie kruszyw </w:t>
            </w:r>
          </w:p>
          <w:p w:rsidR="00E55990" w:rsidRPr="00067AA9" w:rsidRDefault="00067AA9">
            <w:pPr>
              <w:spacing w:after="41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zanieczyszczeń obcych w kruszywie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</w:t>
            </w:r>
            <w:proofErr w:type="spellStart"/>
            <w:r w:rsidRPr="00067AA9">
              <w:rPr>
                <w:rFonts w:ascii="Arial" w:hAnsi="Arial" w:cs="Arial"/>
                <w:szCs w:val="20"/>
              </w:rPr>
              <w:t>ziarn</w:t>
            </w:r>
            <w:proofErr w:type="spellEnd"/>
            <w:r w:rsidRPr="00067AA9">
              <w:rPr>
                <w:rFonts w:ascii="Arial" w:hAnsi="Arial" w:cs="Arial"/>
                <w:szCs w:val="20"/>
              </w:rPr>
              <w:t xml:space="preserve"> nieforemnych w kruszywie </w:t>
            </w:r>
          </w:p>
        </w:tc>
        <w:tc>
          <w:tcPr>
            <w:tcW w:w="138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6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2 </w:t>
            </w:r>
          </w:p>
        </w:tc>
        <w:tc>
          <w:tcPr>
            <w:tcW w:w="138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6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600 </w:t>
            </w:r>
          </w:p>
        </w:tc>
      </w:tr>
      <w:tr w:rsidR="00E55990" w:rsidRPr="00067AA9">
        <w:trPr>
          <w:trHeight w:val="1075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4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5 </w:t>
            </w:r>
          </w:p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6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7 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41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Ścieralność kruszywa </w:t>
            </w:r>
          </w:p>
          <w:p w:rsidR="00E55990" w:rsidRPr="00067AA9" w:rsidRDefault="00067AA9">
            <w:pPr>
              <w:spacing w:after="41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Nasiąkliwość kruszywa </w:t>
            </w:r>
          </w:p>
          <w:p w:rsidR="00E55990" w:rsidRPr="00067AA9" w:rsidRDefault="00067AA9">
            <w:pPr>
              <w:spacing w:after="41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Odporność kruszywa na działanie mrozu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Zawartość zanieczyszczeń organicznych </w:t>
            </w:r>
          </w:p>
        </w:tc>
        <w:tc>
          <w:tcPr>
            <w:tcW w:w="2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6000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i przy każdej zmianie źródła pobierania materiałów </w:t>
            </w:r>
          </w:p>
        </w:tc>
      </w:tr>
    </w:tbl>
    <w:p w:rsidR="00E55990" w:rsidRPr="00067AA9" w:rsidRDefault="00067AA9">
      <w:pPr>
        <w:spacing w:after="37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spacing w:after="16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6.3.2. </w:t>
      </w:r>
      <w:r w:rsidRPr="00067AA9">
        <w:rPr>
          <w:rFonts w:ascii="Arial" w:hAnsi="Arial" w:cs="Arial"/>
          <w:szCs w:val="20"/>
        </w:rPr>
        <w:t xml:space="preserve">Badania właściwości kruszywa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Próbki należy pobierać w sposób losowy z rozłożonej warstwy, przed jej zagęszczeniem. Wyniki badań powinny być na bieżąco przekazywane Inżynierowi. </w:t>
      </w:r>
    </w:p>
    <w:p w:rsidR="00E55990" w:rsidRPr="00067AA9" w:rsidRDefault="00067AA9">
      <w:pPr>
        <w:spacing w:after="16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Badania pełne kruszywa, obejmujące ocenę wszystkich właściwości okre</w:t>
      </w:r>
      <w:r w:rsidRPr="00067AA9">
        <w:rPr>
          <w:rFonts w:ascii="Arial" w:hAnsi="Arial" w:cs="Arial"/>
          <w:szCs w:val="20"/>
        </w:rPr>
        <w:t>ślonych w pkt 2.3 powinny być wykonywane przez Wykonawcę z częstotliwością gwarantującą zachowanie jakości robót i zawsze w przypadku zmiany źródła pobierania materiałów oraz na polecenie Inżyniera. Próbki do badań pełnych powinny być pobierane przez Wykon</w:t>
      </w:r>
      <w:r w:rsidRPr="00067AA9">
        <w:rPr>
          <w:rFonts w:ascii="Arial" w:hAnsi="Arial" w:cs="Arial"/>
          <w:szCs w:val="20"/>
        </w:rPr>
        <w:t xml:space="preserve">awcę w sposób losowy, w obecności Inżyniera.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6.4. Wymagania dotyczące nośności i cech geometrycznych podbudowy </w:t>
      </w:r>
    </w:p>
    <w:p w:rsidR="00E55990" w:rsidRPr="00067AA9" w:rsidRDefault="00067AA9">
      <w:pPr>
        <w:spacing w:after="161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6.4.1. </w:t>
      </w:r>
      <w:r w:rsidRPr="00067AA9">
        <w:rPr>
          <w:rFonts w:ascii="Arial" w:hAnsi="Arial" w:cs="Arial"/>
          <w:szCs w:val="20"/>
        </w:rPr>
        <w:t xml:space="preserve">Częstotliwość oraz zakres pomiarów </w:t>
      </w:r>
    </w:p>
    <w:p w:rsidR="00E55990" w:rsidRPr="00067AA9" w:rsidRDefault="00067AA9">
      <w:pPr>
        <w:spacing w:after="16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 Częstotliwość oraz zakres pomiarów podano w tablicy 4.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>Tablica 4. Częstotliwość oraz zakres pomi</w:t>
      </w:r>
      <w:r w:rsidRPr="00067AA9">
        <w:rPr>
          <w:rFonts w:ascii="Arial" w:hAnsi="Arial" w:cs="Arial"/>
          <w:szCs w:val="20"/>
        </w:rPr>
        <w:t xml:space="preserve">arów wykonanej podbudowy z tłucznia </w:t>
      </w:r>
    </w:p>
    <w:p w:rsidR="00E55990" w:rsidRPr="00067AA9" w:rsidRDefault="00067AA9">
      <w:pPr>
        <w:spacing w:after="13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   kamiennego </w:t>
      </w:r>
    </w:p>
    <w:tbl>
      <w:tblPr>
        <w:tblStyle w:val="TableGrid"/>
        <w:tblW w:w="7583" w:type="dxa"/>
        <w:tblInd w:w="-69" w:type="dxa"/>
        <w:tblCellMar>
          <w:top w:w="77" w:type="dxa"/>
          <w:left w:w="7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90"/>
        <w:gridCol w:w="3675"/>
        <w:gridCol w:w="3118"/>
      </w:tblGrid>
      <w:tr w:rsidR="00E55990" w:rsidRPr="00067AA9">
        <w:trPr>
          <w:trHeight w:val="386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lastRenderedPageBreak/>
              <w:t>Lp.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Wyszczególnienie badań i pomiarów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72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Minimalna częstotliwość pomiarów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E55990" w:rsidRPr="00067AA9">
        <w:trPr>
          <w:trHeight w:val="386"/>
        </w:trPr>
        <w:tc>
          <w:tcPr>
            <w:tcW w:w="79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1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Szerokość podbudowy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10 razy na 1 km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E55990" w:rsidRPr="00067AA9">
        <w:trPr>
          <w:trHeight w:val="60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2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Równość podłużna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 sposób ciągły </w:t>
            </w:r>
            <w:proofErr w:type="spellStart"/>
            <w:r w:rsidRPr="00067AA9">
              <w:rPr>
                <w:rFonts w:ascii="Arial" w:hAnsi="Arial" w:cs="Arial"/>
                <w:szCs w:val="20"/>
              </w:rPr>
              <w:t>planografem</w:t>
            </w:r>
            <w:proofErr w:type="spellEnd"/>
            <w:r w:rsidRPr="00067AA9">
              <w:rPr>
                <w:rFonts w:ascii="Arial" w:hAnsi="Arial" w:cs="Arial"/>
                <w:szCs w:val="20"/>
              </w:rPr>
              <w:t xml:space="preserve"> albo co 20 m łatą na każdym pasie ruchu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E55990" w:rsidRPr="00067AA9">
        <w:trPr>
          <w:trHeight w:val="37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3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Równość poprzeczna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10 razy na 1 km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E55990" w:rsidRPr="00067AA9">
        <w:trPr>
          <w:trHeight w:val="37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4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Spadki poprzeczne*</w:t>
            </w:r>
            <w:r w:rsidRPr="00067AA9">
              <w:rPr>
                <w:rFonts w:ascii="Arial" w:hAnsi="Arial" w:cs="Arial"/>
                <w:szCs w:val="20"/>
                <w:vertAlign w:val="superscript"/>
              </w:rPr>
              <w:t>)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10 razy na 1 km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E55990" w:rsidRPr="00067AA9">
        <w:trPr>
          <w:trHeight w:val="60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5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Rzędne wysokościowe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co 100 m w osi jezdni i na jej krawędziach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:rsidR="00E55990" w:rsidRPr="00067AA9" w:rsidRDefault="00067AA9">
      <w:pPr>
        <w:spacing w:after="3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Cd. tablicy 4 </w:t>
      </w:r>
    </w:p>
    <w:tbl>
      <w:tblPr>
        <w:tblStyle w:val="TableGrid"/>
        <w:tblW w:w="7583" w:type="dxa"/>
        <w:tblInd w:w="-69" w:type="dxa"/>
        <w:tblCellMar>
          <w:top w:w="0" w:type="dxa"/>
          <w:left w:w="70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3675"/>
        <w:gridCol w:w="3118"/>
      </w:tblGrid>
      <w:tr w:rsidR="00E55990" w:rsidRPr="00067AA9">
        <w:trPr>
          <w:trHeight w:val="37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6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Ukształtowanie osi w planie*</w:t>
            </w:r>
            <w:r w:rsidRPr="00067AA9">
              <w:rPr>
                <w:rFonts w:ascii="Arial" w:hAnsi="Arial" w:cs="Arial"/>
                <w:szCs w:val="20"/>
                <w:vertAlign w:val="superscript"/>
              </w:rPr>
              <w:t>)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co 100 m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E55990" w:rsidRPr="00067AA9">
        <w:trPr>
          <w:trHeight w:val="1661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7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Grubość podbudowy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Podczas budowy: </w:t>
            </w:r>
          </w:p>
          <w:p w:rsidR="00E55990" w:rsidRPr="00067AA9" w:rsidRDefault="00067AA9">
            <w:pPr>
              <w:spacing w:after="21" w:line="217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w 3 punktach na każdej działce roboczej, lecz nie rzadziej niż raz na 400 m</w:t>
            </w:r>
            <w:r w:rsidRPr="00067AA9">
              <w:rPr>
                <w:rFonts w:ascii="Arial" w:hAnsi="Arial" w:cs="Arial"/>
                <w:szCs w:val="20"/>
                <w:vertAlign w:val="superscript"/>
              </w:rPr>
              <w:t xml:space="preserve">2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Przed odbiorem: w 3 punktach, lecz nie rzadziej niż raz na 2000 m</w:t>
            </w:r>
            <w:r w:rsidRPr="00067AA9">
              <w:rPr>
                <w:rFonts w:ascii="Arial" w:hAnsi="Arial" w:cs="Arial"/>
                <w:szCs w:val="20"/>
                <w:vertAlign w:val="superscript"/>
              </w:rPr>
              <w:t>2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  <w:tr w:rsidR="00E55990" w:rsidRPr="00067AA9">
        <w:trPr>
          <w:trHeight w:val="37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8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Nośność podbudowy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>nie rzadziej niż raz na 3000 m</w:t>
            </w:r>
            <w:r w:rsidRPr="00067AA9">
              <w:rPr>
                <w:rFonts w:ascii="Arial" w:hAnsi="Arial" w:cs="Arial"/>
                <w:szCs w:val="20"/>
                <w:vertAlign w:val="superscript"/>
              </w:rPr>
              <w:t>2</w:t>
            </w:r>
            <w:r w:rsidRPr="00067AA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:rsidR="00E55990" w:rsidRPr="00067AA9" w:rsidRDefault="00067AA9">
      <w:pPr>
        <w:spacing w:after="276"/>
        <w:ind w:left="269"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*) Dodatkowe pomiary spadków poprzecznych i ukształtowanie osi w planie należy wykonać w punktach głównych łuków poziomych. </w:t>
      </w:r>
    </w:p>
    <w:p w:rsidR="00E55990" w:rsidRPr="00067AA9" w:rsidRDefault="00067AA9">
      <w:pPr>
        <w:spacing w:line="363" w:lineRule="auto"/>
        <w:ind w:right="3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6.4.2. </w:t>
      </w:r>
      <w:r w:rsidRPr="00067AA9">
        <w:rPr>
          <w:rFonts w:ascii="Arial" w:hAnsi="Arial" w:cs="Arial"/>
          <w:szCs w:val="20"/>
        </w:rPr>
        <w:t xml:space="preserve">Szerokość podbudowy  </w:t>
      </w:r>
      <w:r w:rsidRPr="00067AA9">
        <w:rPr>
          <w:rFonts w:ascii="Arial" w:hAnsi="Arial" w:cs="Arial"/>
          <w:szCs w:val="20"/>
        </w:rPr>
        <w:tab/>
        <w:t xml:space="preserve">Szerokość podbudowy nie może różnić się od szerokości projektowanej o więcej niż +10 cm, -5 cm. </w:t>
      </w:r>
    </w:p>
    <w:p w:rsidR="00E55990" w:rsidRPr="00067AA9" w:rsidRDefault="00067AA9">
      <w:pPr>
        <w:spacing w:after="15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Na jezdniach bez krawężników szerokość podbudowy powinna być większa od szerokości warstwy wyżej leżącej o co najmniej 25 cm lub o warto</w:t>
      </w:r>
      <w:r w:rsidRPr="00067AA9">
        <w:rPr>
          <w:rFonts w:ascii="Arial" w:hAnsi="Arial" w:cs="Arial"/>
          <w:szCs w:val="20"/>
        </w:rPr>
        <w:t xml:space="preserve">ść wskazaną w dokumentacji projektowej. </w:t>
      </w:r>
    </w:p>
    <w:p w:rsidR="00E55990" w:rsidRPr="00067AA9" w:rsidRDefault="00067AA9">
      <w:pPr>
        <w:spacing w:after="161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6.4.3. </w:t>
      </w:r>
      <w:r w:rsidRPr="00067AA9">
        <w:rPr>
          <w:rFonts w:ascii="Arial" w:hAnsi="Arial" w:cs="Arial"/>
          <w:szCs w:val="20"/>
        </w:rPr>
        <w:t xml:space="preserve">Równość podbudowy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Nierówności podłużne podbudowy należy mierzyć 4-metrową łatą lub </w:t>
      </w:r>
      <w:proofErr w:type="spellStart"/>
      <w:r w:rsidRPr="00067AA9">
        <w:rPr>
          <w:rFonts w:ascii="Arial" w:hAnsi="Arial" w:cs="Arial"/>
          <w:szCs w:val="20"/>
        </w:rPr>
        <w:t>planografem</w:t>
      </w:r>
      <w:proofErr w:type="spellEnd"/>
      <w:r w:rsidRPr="00067AA9">
        <w:rPr>
          <w:rFonts w:ascii="Arial" w:hAnsi="Arial" w:cs="Arial"/>
          <w:szCs w:val="20"/>
        </w:rPr>
        <w:t xml:space="preserve">, zgodnie z normą BN-68/8931-04 [11].  </w:t>
      </w:r>
    </w:p>
    <w:p w:rsidR="00E55990" w:rsidRPr="00067AA9" w:rsidRDefault="00067AA9">
      <w:pPr>
        <w:spacing w:after="125"/>
        <w:ind w:right="2764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Nierówności poprzeczne podbudowy należy mierzyć 4-metrową łatą.   </w:t>
      </w:r>
      <w:r w:rsidRPr="00067AA9">
        <w:rPr>
          <w:rFonts w:ascii="Arial" w:hAnsi="Arial" w:cs="Arial"/>
          <w:szCs w:val="20"/>
        </w:rPr>
        <w:tab/>
        <w:t>Nie</w:t>
      </w:r>
      <w:r w:rsidRPr="00067AA9">
        <w:rPr>
          <w:rFonts w:ascii="Arial" w:hAnsi="Arial" w:cs="Arial"/>
          <w:szCs w:val="20"/>
        </w:rPr>
        <w:t xml:space="preserve">równości podbudowy nie mogą przekraczać: - 12 mm dla podbudowy zasadniczej, - 15 mm dla podbudowy pomocniczej. </w:t>
      </w:r>
    </w:p>
    <w:p w:rsidR="00E55990" w:rsidRPr="00067AA9" w:rsidRDefault="00067AA9">
      <w:pPr>
        <w:spacing w:after="16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6.4.4. </w:t>
      </w:r>
      <w:r w:rsidRPr="00067AA9">
        <w:rPr>
          <w:rFonts w:ascii="Arial" w:hAnsi="Arial" w:cs="Arial"/>
          <w:szCs w:val="20"/>
        </w:rPr>
        <w:t xml:space="preserve">Spadki poprzeczne podbudowy </w:t>
      </w:r>
    </w:p>
    <w:p w:rsidR="00E55990" w:rsidRPr="00067AA9" w:rsidRDefault="00067AA9">
      <w:pPr>
        <w:spacing w:after="146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Spadki poprzeczne podbudowy na prostych i łukach powinny być zgodne z dokumentacją projektową z tolerancją </w:t>
      </w:r>
      <w:r w:rsidRPr="00067AA9">
        <w:rPr>
          <w:rFonts w:ascii="Arial" w:eastAsia="Segoe UI Symbol" w:hAnsi="Arial" w:cs="Arial"/>
          <w:szCs w:val="20"/>
        </w:rPr>
        <w:t></w:t>
      </w:r>
      <w:r w:rsidRPr="00067AA9">
        <w:rPr>
          <w:rFonts w:ascii="Arial" w:hAnsi="Arial" w:cs="Arial"/>
          <w:szCs w:val="20"/>
        </w:rPr>
        <w:t xml:space="preserve"> 0,5 %. </w:t>
      </w:r>
    </w:p>
    <w:p w:rsidR="00E55990" w:rsidRPr="00067AA9" w:rsidRDefault="00067AA9">
      <w:pPr>
        <w:spacing w:after="16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6.4.5. </w:t>
      </w:r>
      <w:r w:rsidRPr="00067AA9">
        <w:rPr>
          <w:rFonts w:ascii="Arial" w:hAnsi="Arial" w:cs="Arial"/>
          <w:szCs w:val="20"/>
        </w:rPr>
        <w:t xml:space="preserve">Rzędne wysokościowe podbudowy </w:t>
      </w:r>
    </w:p>
    <w:p w:rsidR="00E55990" w:rsidRPr="00067AA9" w:rsidRDefault="00067AA9">
      <w:pPr>
        <w:spacing w:after="157" w:line="303" w:lineRule="auto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Różnice pomiędzy rzędnymi wysokościowymi podbudowy i rzędnymi projektowanymi nie powinny przekraczać + 1 cm, -2 cm. </w:t>
      </w:r>
      <w:r w:rsidRPr="00067AA9">
        <w:rPr>
          <w:rFonts w:ascii="Arial" w:hAnsi="Arial" w:cs="Arial"/>
          <w:b/>
          <w:szCs w:val="20"/>
        </w:rPr>
        <w:t xml:space="preserve">6.4.6. </w:t>
      </w:r>
      <w:r w:rsidRPr="00067AA9">
        <w:rPr>
          <w:rFonts w:ascii="Arial" w:hAnsi="Arial" w:cs="Arial"/>
          <w:szCs w:val="20"/>
        </w:rPr>
        <w:t xml:space="preserve">Ukształtowanie osi w planie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Oś podbudowy w planie nie może być przesunięta w stosunku do osi projektowanej o więcej niż 3 cm dla autostrad i dróg ekspresowych lub o więcej niż </w:t>
      </w:r>
      <w:r w:rsidRPr="00067AA9">
        <w:rPr>
          <w:rFonts w:ascii="Arial" w:eastAsia="Segoe UI Symbol" w:hAnsi="Arial" w:cs="Arial"/>
          <w:szCs w:val="20"/>
        </w:rPr>
        <w:t></w:t>
      </w:r>
      <w:r w:rsidRPr="00067AA9">
        <w:rPr>
          <w:rFonts w:ascii="Arial" w:hAnsi="Arial" w:cs="Arial"/>
          <w:szCs w:val="20"/>
        </w:rPr>
        <w:t xml:space="preserve"> 5 cm dla pozostałych dróg. </w:t>
      </w:r>
    </w:p>
    <w:p w:rsidR="00E55990" w:rsidRPr="00067AA9" w:rsidRDefault="00067AA9">
      <w:pPr>
        <w:spacing w:after="3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spacing w:after="155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spacing w:after="161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6.4.7. </w:t>
      </w:r>
      <w:r w:rsidRPr="00067AA9">
        <w:rPr>
          <w:rFonts w:ascii="Arial" w:hAnsi="Arial" w:cs="Arial"/>
          <w:szCs w:val="20"/>
        </w:rPr>
        <w:t xml:space="preserve">Grubość podbudowy </w:t>
      </w:r>
    </w:p>
    <w:p w:rsidR="00E55990" w:rsidRPr="00067AA9" w:rsidRDefault="00067AA9">
      <w:pPr>
        <w:ind w:right="175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lastRenderedPageBreak/>
        <w:t xml:space="preserve"> </w:t>
      </w:r>
      <w:r w:rsidRPr="00067AA9">
        <w:rPr>
          <w:rFonts w:ascii="Arial" w:hAnsi="Arial" w:cs="Arial"/>
          <w:szCs w:val="20"/>
        </w:rPr>
        <w:tab/>
        <w:t>Grubość podbudowy nie może różnić się od grub</w:t>
      </w:r>
      <w:r w:rsidRPr="00067AA9">
        <w:rPr>
          <w:rFonts w:ascii="Arial" w:hAnsi="Arial" w:cs="Arial"/>
          <w:szCs w:val="20"/>
        </w:rPr>
        <w:t xml:space="preserve">ości projektowanej o więcej niż: - dla podbudowy zasadniczej </w:t>
      </w:r>
      <w:r w:rsidRPr="00067AA9">
        <w:rPr>
          <w:rFonts w:ascii="Arial" w:eastAsia="Segoe UI Symbol" w:hAnsi="Arial" w:cs="Arial"/>
          <w:szCs w:val="20"/>
        </w:rPr>
        <w:t></w:t>
      </w:r>
      <w:r w:rsidRPr="00067AA9">
        <w:rPr>
          <w:rFonts w:ascii="Arial" w:hAnsi="Arial" w:cs="Arial"/>
          <w:szCs w:val="20"/>
        </w:rPr>
        <w:t xml:space="preserve"> 2 cm, </w:t>
      </w:r>
    </w:p>
    <w:p w:rsidR="00E55990" w:rsidRPr="00067AA9" w:rsidRDefault="00067AA9">
      <w:pPr>
        <w:spacing w:after="15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- dla podbudowy pomocniczej +1 cm, -2 cm. </w:t>
      </w:r>
    </w:p>
    <w:p w:rsidR="00E55990" w:rsidRPr="00067AA9" w:rsidRDefault="00067AA9">
      <w:pPr>
        <w:spacing w:after="15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6.4.8. </w:t>
      </w:r>
      <w:r w:rsidRPr="00067AA9">
        <w:rPr>
          <w:rFonts w:ascii="Arial" w:hAnsi="Arial" w:cs="Arial"/>
          <w:szCs w:val="20"/>
        </w:rPr>
        <w:t xml:space="preserve">Nośność podbudowy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Pomiary nośności podbudowy należy wykonać zgodnie z BN-64/8931-02 [10]. </w:t>
      </w:r>
    </w:p>
    <w:p w:rsidR="00E55990" w:rsidRPr="00067AA9" w:rsidRDefault="00067AA9">
      <w:pPr>
        <w:spacing w:after="16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Podbudowa zasadnicza powinna spełniać wymagania dotyczące nośności, podane w tablicy 5. </w:t>
      </w:r>
    </w:p>
    <w:p w:rsidR="00E55990" w:rsidRPr="00067AA9" w:rsidRDefault="00067AA9">
      <w:pPr>
        <w:spacing w:after="13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Tablica 5. Wymagania nośności podbudowy zasadniczej w zależności od kategorii ruchu </w:t>
      </w:r>
    </w:p>
    <w:tbl>
      <w:tblPr>
        <w:tblStyle w:val="TableGrid"/>
        <w:tblW w:w="7511" w:type="dxa"/>
        <w:tblInd w:w="-69" w:type="dxa"/>
        <w:tblCellMar>
          <w:top w:w="0" w:type="dxa"/>
          <w:left w:w="7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904"/>
        <w:gridCol w:w="2302"/>
        <w:gridCol w:w="2305"/>
      </w:tblGrid>
      <w:tr w:rsidR="00E55990" w:rsidRPr="00067AA9">
        <w:trPr>
          <w:trHeight w:val="485"/>
        </w:trPr>
        <w:tc>
          <w:tcPr>
            <w:tcW w:w="2905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  <w:p w:rsidR="00E55990" w:rsidRPr="00067AA9" w:rsidRDefault="00067AA9">
            <w:pPr>
              <w:spacing w:after="17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Kategoria ruchu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4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Minimalny moduł odkształcenia mierzony przy użyciu płyty o </w:t>
            </w:r>
            <w:r w:rsidRPr="00067AA9">
              <w:rPr>
                <w:rFonts w:ascii="Arial" w:hAnsi="Arial" w:cs="Arial"/>
                <w:szCs w:val="20"/>
              </w:rPr>
              <w:t>średnicy 30 cm   (</w:t>
            </w:r>
            <w:proofErr w:type="spellStart"/>
            <w:r w:rsidRPr="00067AA9">
              <w:rPr>
                <w:rFonts w:ascii="Arial" w:hAnsi="Arial" w:cs="Arial"/>
                <w:szCs w:val="20"/>
              </w:rPr>
              <w:t>MPa</w:t>
            </w:r>
            <w:proofErr w:type="spellEnd"/>
            <w:r w:rsidRPr="00067AA9">
              <w:rPr>
                <w:rFonts w:ascii="Arial" w:hAnsi="Arial" w:cs="Arial"/>
                <w:szCs w:val="20"/>
              </w:rPr>
              <w:t xml:space="preserve">) </w:t>
            </w:r>
          </w:p>
        </w:tc>
      </w:tr>
      <w:tr w:rsidR="00E55990" w:rsidRPr="00067AA9">
        <w:trPr>
          <w:trHeight w:val="3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E55990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Pierwotny </w:t>
            </w:r>
            <w:r w:rsidRPr="00067AA9">
              <w:rPr>
                <w:rFonts w:ascii="Arial" w:hAnsi="Arial" w:cs="Arial"/>
                <w:i/>
                <w:szCs w:val="20"/>
              </w:rPr>
              <w:t xml:space="preserve">M </w:t>
            </w:r>
            <w:r w:rsidRPr="00067AA9">
              <w:rPr>
                <w:rFonts w:ascii="Arial" w:hAnsi="Arial" w:cs="Arial"/>
                <w:i/>
                <w:szCs w:val="20"/>
                <w:vertAlign w:val="superscript"/>
              </w:rPr>
              <w:t>I</w:t>
            </w:r>
            <w:r w:rsidRPr="00067AA9">
              <w:rPr>
                <w:rFonts w:ascii="Arial" w:hAnsi="Arial" w:cs="Arial"/>
                <w:i/>
                <w:szCs w:val="20"/>
                <w:vertAlign w:val="subscript"/>
              </w:rPr>
              <w:t>E</w:t>
            </w: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Wtórny </w:t>
            </w:r>
            <w:r w:rsidRPr="00067AA9">
              <w:rPr>
                <w:rFonts w:ascii="Arial" w:hAnsi="Arial" w:cs="Arial"/>
                <w:i/>
                <w:szCs w:val="20"/>
              </w:rPr>
              <w:t xml:space="preserve">M </w:t>
            </w:r>
            <w:r w:rsidRPr="00067AA9">
              <w:rPr>
                <w:rFonts w:ascii="Arial" w:hAnsi="Arial" w:cs="Arial"/>
                <w:i/>
                <w:szCs w:val="20"/>
                <w:vertAlign w:val="superscript"/>
              </w:rPr>
              <w:t>II</w:t>
            </w:r>
            <w:r w:rsidRPr="00067AA9">
              <w:rPr>
                <w:rFonts w:ascii="Arial" w:hAnsi="Arial" w:cs="Arial"/>
                <w:i/>
                <w:szCs w:val="20"/>
                <w:vertAlign w:val="subscript"/>
              </w:rPr>
              <w:t>E</w:t>
            </w:r>
            <w:r w:rsidRPr="00067AA9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E55990" w:rsidRPr="00067AA9">
        <w:trPr>
          <w:trHeight w:val="622"/>
        </w:trPr>
        <w:tc>
          <w:tcPr>
            <w:tcW w:w="290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41" w:line="240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Ruch lekki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Ruch lekko średni i średni </w:t>
            </w:r>
          </w:p>
        </w:tc>
        <w:tc>
          <w:tcPr>
            <w:tcW w:w="230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100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100 </w:t>
            </w:r>
          </w:p>
        </w:tc>
        <w:tc>
          <w:tcPr>
            <w:tcW w:w="230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990" w:rsidRPr="00067AA9" w:rsidRDefault="00067AA9">
            <w:pPr>
              <w:spacing w:after="3" w:line="240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140 </w:t>
            </w:r>
          </w:p>
          <w:p w:rsidR="00E55990" w:rsidRPr="00067AA9" w:rsidRDefault="00067AA9">
            <w:pPr>
              <w:spacing w:after="0" w:line="276" w:lineRule="auto"/>
              <w:ind w:left="0" w:firstLine="0"/>
              <w:jc w:val="center"/>
              <w:rPr>
                <w:rFonts w:ascii="Arial" w:hAnsi="Arial" w:cs="Arial"/>
                <w:szCs w:val="20"/>
              </w:rPr>
            </w:pPr>
            <w:r w:rsidRPr="00067AA9">
              <w:rPr>
                <w:rFonts w:ascii="Arial" w:hAnsi="Arial" w:cs="Arial"/>
                <w:szCs w:val="20"/>
              </w:rPr>
              <w:t xml:space="preserve">170 </w:t>
            </w:r>
          </w:p>
        </w:tc>
      </w:tr>
    </w:tbl>
    <w:p w:rsidR="00E55990" w:rsidRPr="00067AA9" w:rsidRDefault="00067AA9">
      <w:pPr>
        <w:spacing w:after="41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Pierwotny moduł odkształcenia podbudowy pomocniczej mierzony płytą o średnicy 30 cm, powinien być większy od 50 </w:t>
      </w:r>
      <w:proofErr w:type="spellStart"/>
      <w:r w:rsidRPr="00067AA9">
        <w:rPr>
          <w:rFonts w:ascii="Arial" w:hAnsi="Arial" w:cs="Arial"/>
          <w:szCs w:val="20"/>
        </w:rPr>
        <w:t>MPa</w:t>
      </w:r>
      <w:proofErr w:type="spellEnd"/>
      <w:r w:rsidRPr="00067AA9">
        <w:rPr>
          <w:rFonts w:ascii="Arial" w:hAnsi="Arial" w:cs="Arial"/>
          <w:szCs w:val="20"/>
        </w:rPr>
        <w:t xml:space="preserve">. </w:t>
      </w:r>
    </w:p>
    <w:p w:rsidR="00E55990" w:rsidRPr="00067AA9" w:rsidRDefault="00067AA9">
      <w:pPr>
        <w:spacing w:line="307" w:lineRule="auto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Zagęszczenie podbudowy należy uznać za prawidłowe, gdy stosunek wtórnego modułu odkształcenia </w:t>
      </w:r>
      <w:r w:rsidRPr="00067AA9">
        <w:rPr>
          <w:rFonts w:ascii="Arial" w:hAnsi="Arial" w:cs="Arial"/>
          <w:i/>
          <w:szCs w:val="20"/>
        </w:rPr>
        <w:t xml:space="preserve">M </w:t>
      </w:r>
      <w:r w:rsidRPr="00067AA9">
        <w:rPr>
          <w:rFonts w:ascii="Arial" w:hAnsi="Arial" w:cs="Arial"/>
          <w:i/>
          <w:szCs w:val="20"/>
          <w:vertAlign w:val="superscript"/>
        </w:rPr>
        <w:t>II</w:t>
      </w:r>
      <w:r w:rsidRPr="00067AA9">
        <w:rPr>
          <w:rFonts w:ascii="Arial" w:hAnsi="Arial" w:cs="Arial"/>
          <w:i/>
          <w:szCs w:val="20"/>
          <w:vertAlign w:val="subscript"/>
        </w:rPr>
        <w:t>E</w:t>
      </w:r>
      <w:r w:rsidRPr="00067AA9">
        <w:rPr>
          <w:rFonts w:ascii="Arial" w:hAnsi="Arial" w:cs="Arial"/>
          <w:szCs w:val="20"/>
        </w:rPr>
        <w:t xml:space="preserve"> do pierwotnego modułu odkształcenia </w:t>
      </w:r>
      <w:r w:rsidRPr="00067AA9">
        <w:rPr>
          <w:rFonts w:ascii="Arial" w:hAnsi="Arial" w:cs="Arial"/>
          <w:i/>
          <w:szCs w:val="20"/>
        </w:rPr>
        <w:t xml:space="preserve">M </w:t>
      </w:r>
      <w:r w:rsidRPr="00067AA9">
        <w:rPr>
          <w:rFonts w:ascii="Arial" w:hAnsi="Arial" w:cs="Arial"/>
          <w:i/>
          <w:szCs w:val="20"/>
          <w:vertAlign w:val="superscript"/>
        </w:rPr>
        <w:t>I</w:t>
      </w:r>
      <w:r w:rsidRPr="00067AA9">
        <w:rPr>
          <w:rFonts w:ascii="Arial" w:hAnsi="Arial" w:cs="Arial"/>
          <w:i/>
          <w:szCs w:val="20"/>
          <w:vertAlign w:val="subscript"/>
        </w:rPr>
        <w:t>E</w:t>
      </w:r>
      <w:r w:rsidRPr="00067AA9">
        <w:rPr>
          <w:rFonts w:ascii="Arial" w:hAnsi="Arial" w:cs="Arial"/>
          <w:szCs w:val="20"/>
        </w:rPr>
        <w:t xml:space="preserve"> jest nie większy             od 2,2. </w:t>
      </w:r>
    </w:p>
    <w:p w:rsidR="00E55990" w:rsidRPr="00067AA9" w:rsidRDefault="00067AA9">
      <w:pPr>
        <w:spacing w:after="25" w:line="240" w:lineRule="auto"/>
        <w:ind w:left="241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i/>
          <w:szCs w:val="20"/>
        </w:rPr>
        <w:t>II</w:t>
      </w:r>
    </w:p>
    <w:p w:rsidR="00E55990" w:rsidRPr="00067AA9" w:rsidRDefault="00067AA9">
      <w:pPr>
        <w:ind w:left="2196"/>
        <w:rPr>
          <w:rFonts w:ascii="Arial" w:hAnsi="Arial" w:cs="Arial"/>
          <w:szCs w:val="20"/>
        </w:rPr>
      </w:pPr>
      <w:r w:rsidRPr="00067AA9">
        <w:rPr>
          <w:rFonts w:ascii="Arial" w:hAnsi="Arial" w:cs="Arial"/>
          <w:i/>
          <w:szCs w:val="20"/>
        </w:rPr>
        <w:t xml:space="preserve">M   </w:t>
      </w:r>
      <w:r w:rsidRPr="00067AA9">
        <w:rPr>
          <w:rFonts w:ascii="Arial" w:hAnsi="Arial" w:cs="Arial"/>
          <w:i/>
          <w:szCs w:val="20"/>
          <w:vertAlign w:val="superscript"/>
        </w:rPr>
        <w:t>E</w:t>
      </w:r>
      <w:r w:rsidRPr="00067AA9">
        <w:rPr>
          <w:rFonts w:ascii="Arial" w:hAnsi="Arial" w:cs="Arial"/>
          <w:i/>
          <w:szCs w:val="20"/>
          <w:vertAlign w:val="superscript"/>
        </w:rPr>
        <w:tab/>
      </w:r>
      <w:r w:rsidRPr="00067AA9">
        <w:rPr>
          <w:rFonts w:ascii="Arial" w:hAnsi="Arial" w:cs="Arial"/>
          <w:szCs w:val="20"/>
        </w:rPr>
        <w:t xml:space="preserve">    2,2</w:t>
      </w:r>
      <w:r w:rsidRPr="00067AA9">
        <w:rPr>
          <w:rFonts w:ascii="Arial" w:hAnsi="Arial" w:cs="Arial"/>
          <w:szCs w:val="20"/>
        </w:rPr>
        <w:t xml:space="preserve"> 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</w:p>
    <w:p w:rsidR="00E55990" w:rsidRPr="00067AA9" w:rsidRDefault="00067AA9">
      <w:pPr>
        <w:spacing w:after="0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  <w:t xml:space="preserve"> </w:t>
      </w:r>
      <w:r w:rsidRPr="00067AA9">
        <w:rPr>
          <w:rFonts w:ascii="Arial" w:hAnsi="Arial" w:cs="Arial"/>
          <w:szCs w:val="20"/>
        </w:rPr>
        <w:tab/>
      </w:r>
      <w:r w:rsidRPr="00067AA9">
        <w:rPr>
          <w:rFonts w:ascii="Arial" w:hAnsi="Arial" w:cs="Arial"/>
          <w:i/>
          <w:szCs w:val="20"/>
          <w:vertAlign w:val="subscript"/>
        </w:rPr>
        <w:t>I</w:t>
      </w: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eastAsia="Segoe UI Symbol" w:hAnsi="Arial" w:cs="Arial"/>
          <w:szCs w:val="20"/>
        </w:rPr>
        <w:t></w:t>
      </w:r>
    </w:p>
    <w:p w:rsidR="00E55990" w:rsidRPr="00067AA9" w:rsidRDefault="00067AA9">
      <w:pPr>
        <w:spacing w:after="101" w:line="240" w:lineRule="auto"/>
        <w:ind w:left="2166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eastAsia="Calibri" w:hAnsi="Arial" w:cs="Arial"/>
          <w:noProof/>
          <w:szCs w:val="20"/>
        </w:rPr>
        <mc:AlternateContent>
          <mc:Choice Requires="wpg">
            <w:drawing>
              <wp:inline distT="0" distB="0" distL="0" distR="0">
                <wp:extent cx="253601" cy="6325"/>
                <wp:effectExtent l="0" t="0" r="0" b="0"/>
                <wp:docPr id="12526" name="Group 12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601" cy="6325"/>
                          <a:chOff x="0" y="0"/>
                          <a:chExt cx="253601" cy="6325"/>
                        </a:xfrm>
                      </wpg:grpSpPr>
                      <wps:wsp>
                        <wps:cNvPr id="1664" name="Shape 1664"/>
                        <wps:cNvSpPr/>
                        <wps:spPr>
                          <a:xfrm>
                            <a:off x="0" y="0"/>
                            <a:ext cx="2536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01">
                                <a:moveTo>
                                  <a:pt x="0" y="0"/>
                                </a:moveTo>
                                <a:lnTo>
                                  <a:pt x="253601" y="0"/>
                                </a:lnTo>
                              </a:path>
                            </a:pathLst>
                          </a:custGeom>
                          <a:ln w="63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436BE5" id="Group 12526" o:spid="_x0000_s1026" style="width:19.95pt;height:.5pt;mso-position-horizontal-relative:char;mso-position-vertical-relative:line" coordsize="253601,6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">
                <v:shape id="Shape 1664" o:spid="_x0000_s1027" style="position:absolute;width:253601;height:0;visibility:visible;mso-wrap-style:square;v-text-anchor:top" coordsize="2536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ZWL8A&#10;AADdAAAADwAAAGRycy9kb3ducmV2LnhtbERPy6rCMBDdC/cfwlxwIza1SJFeo1RBcCX4+IChmdsW&#10;m0lJota/N4Lgbg7nOcv1YDpxJ+dbywpmSQqCuLK65VrB5bybLkD4gKyxs0wKnuRhvfoZLbHQ9sFH&#10;up9CLWII+wIVNCH0hZS+asigT2xPHLl/6wyGCF0ttcNHDDedzNI0lwZbjg0N9rRtqLqebkZBlR64&#10;7I4bkqW7ct1mNpuUc6XGv0P5ByLQEL7ij3uv4/w8n8P7m3iCXL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KJlYvwAAAN0AAAAPAAAAAAAAAAAAAAAAAJgCAABkcnMvZG93bnJl&#10;di54bWxQSwUGAAAAAAQABAD1AAAAhAMAAAAA&#10;" path="m,l253601,e" filled="f" strokeweight=".17569mm">
                  <v:path arrowok="t" textboxrect="0,0,253601,0"/>
                </v:shape>
                <w10:anchorlock/>
              </v:group>
            </w:pict>
          </mc:Fallback>
        </mc:AlternateContent>
      </w:r>
    </w:p>
    <w:p w:rsidR="00E55990" w:rsidRPr="00067AA9" w:rsidRDefault="00067AA9">
      <w:pPr>
        <w:spacing w:after="0" w:line="240" w:lineRule="auto"/>
        <w:ind w:left="2203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i/>
          <w:szCs w:val="20"/>
        </w:rPr>
        <w:t xml:space="preserve">M   </w:t>
      </w:r>
      <w:r w:rsidRPr="00067AA9">
        <w:rPr>
          <w:rFonts w:ascii="Arial" w:hAnsi="Arial" w:cs="Arial"/>
          <w:i/>
          <w:szCs w:val="20"/>
          <w:vertAlign w:val="subscript"/>
        </w:rPr>
        <w:t>E</w:t>
      </w:r>
    </w:p>
    <w:p w:rsidR="00E55990" w:rsidRPr="00067AA9" w:rsidRDefault="00067AA9">
      <w:pPr>
        <w:pStyle w:val="Nagwek2"/>
        <w:spacing w:after="27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6.5. Zasady postępowania z wadliwie wykonanymi odcinkami podbudowy </w:t>
      </w:r>
    </w:p>
    <w:p w:rsidR="00E55990" w:rsidRPr="00067AA9" w:rsidRDefault="00067AA9">
      <w:pPr>
        <w:spacing w:after="15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6.5.1. </w:t>
      </w:r>
      <w:r w:rsidRPr="00067AA9">
        <w:rPr>
          <w:rFonts w:ascii="Arial" w:hAnsi="Arial" w:cs="Arial"/>
          <w:szCs w:val="20"/>
        </w:rPr>
        <w:t xml:space="preserve">Niewłaściwe cechy geometryczne podbudowy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Wszystkie powierzchnie podbudowy, które wykazują większe odchylenia cech geometrycznych od określonych w punkcie 6.4, powinny być naprawio</w:t>
      </w:r>
      <w:r w:rsidRPr="00067AA9">
        <w:rPr>
          <w:rFonts w:ascii="Arial" w:hAnsi="Arial" w:cs="Arial"/>
          <w:szCs w:val="20"/>
        </w:rPr>
        <w:t xml:space="preserve">ne. Wszelkie naprawy i dodatkowe badania i pomiary zostaną wykonane na koszt Wykonawcy. </w:t>
      </w:r>
    </w:p>
    <w:p w:rsidR="00E55990" w:rsidRPr="00067AA9" w:rsidRDefault="00067AA9">
      <w:pPr>
        <w:spacing w:after="15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Jeżeli szerokość podbudowy jest mniejsza od szerokości projektowanej o więcej niż 5 cm i nie zapewni to podparcia warstwom wyżej leżącym, to Wykonawca powinien na wła</w:t>
      </w:r>
      <w:r w:rsidRPr="00067AA9">
        <w:rPr>
          <w:rFonts w:ascii="Arial" w:hAnsi="Arial" w:cs="Arial"/>
          <w:szCs w:val="20"/>
        </w:rPr>
        <w:t xml:space="preserve">sny koszt poszerzyć podbudowę przez spulchnienie warstwy na pełną grubość, do połowy szerokości pasa ruchu (lub pasa postojowego czy utwardzonego pobocza), dołożenie materiału i powtórne zagęszczenie. </w:t>
      </w:r>
    </w:p>
    <w:p w:rsidR="00E55990" w:rsidRPr="00067AA9" w:rsidRDefault="00067AA9">
      <w:pPr>
        <w:spacing w:after="16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6.5.2. </w:t>
      </w:r>
      <w:r w:rsidRPr="00067AA9">
        <w:rPr>
          <w:rFonts w:ascii="Arial" w:hAnsi="Arial" w:cs="Arial"/>
          <w:szCs w:val="20"/>
        </w:rPr>
        <w:t xml:space="preserve">Niewłaściwa grubość </w:t>
      </w:r>
    </w:p>
    <w:p w:rsidR="00E55990" w:rsidRPr="00067AA9" w:rsidRDefault="00067AA9">
      <w:pPr>
        <w:spacing w:after="158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Na wszystkich powierzchni</w:t>
      </w:r>
      <w:r w:rsidRPr="00067AA9">
        <w:rPr>
          <w:rFonts w:ascii="Arial" w:hAnsi="Arial" w:cs="Arial"/>
          <w:szCs w:val="20"/>
        </w:rPr>
        <w:t>ach wadliwych pod względem grubości, Wykonawca wykona naprawę podbudowy. Powierzchnie powinny być naprawione przez spulchnienie lub wybranie warstwy na odpowiednią głębokość, zgodnie z decyzją Inżyniera, uzupełnione nowym materiałem o odpowiednich właściwo</w:t>
      </w:r>
      <w:r w:rsidRPr="00067AA9">
        <w:rPr>
          <w:rFonts w:ascii="Arial" w:hAnsi="Arial" w:cs="Arial"/>
          <w:szCs w:val="20"/>
        </w:rPr>
        <w:t xml:space="preserve">ściach, wyrównane i ponownie zagęszczone. Roboty te Wykonawca wykona na własny koszt. Po wykonaniu tych robót nastąpi ponowny pomiar i ocena grubości warstwy. Koszty poniesie Wykonawca. </w:t>
      </w:r>
    </w:p>
    <w:p w:rsidR="00E55990" w:rsidRPr="00067AA9" w:rsidRDefault="00067AA9">
      <w:pPr>
        <w:spacing w:after="16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6.5.3. </w:t>
      </w:r>
      <w:r w:rsidRPr="00067AA9">
        <w:rPr>
          <w:rFonts w:ascii="Arial" w:hAnsi="Arial" w:cs="Arial"/>
          <w:szCs w:val="20"/>
        </w:rPr>
        <w:t xml:space="preserve">Niewłaściwa nośność podbudowy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Jeżeli nośność podbudowy będzi</w:t>
      </w:r>
      <w:r w:rsidRPr="00067AA9">
        <w:rPr>
          <w:rFonts w:ascii="Arial" w:hAnsi="Arial" w:cs="Arial"/>
          <w:szCs w:val="20"/>
        </w:rPr>
        <w:t xml:space="preserve">e mniejsza od wymaganej, to Wykonawca wykona wszelkie roboty niezbędne do zapewnienia wymaganej nośności, zalecone przez Inżyniera. </w:t>
      </w:r>
    </w:p>
    <w:p w:rsidR="00E55990" w:rsidRPr="00067AA9" w:rsidRDefault="00067AA9">
      <w:pPr>
        <w:spacing w:after="286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Koszty tych dodatkowych robót poniesie Wykonawca podbudowy tylko wtedy, gdy zaniżenie nośności podbudowy wynikło z niewłaś</w:t>
      </w:r>
      <w:r w:rsidRPr="00067AA9">
        <w:rPr>
          <w:rFonts w:ascii="Arial" w:hAnsi="Arial" w:cs="Arial"/>
          <w:szCs w:val="20"/>
        </w:rPr>
        <w:t xml:space="preserve">ciwego wykonania robót przez Wykonawcę podbudowy.  </w:t>
      </w:r>
    </w:p>
    <w:p w:rsidR="00E55990" w:rsidRPr="00067AA9" w:rsidRDefault="00067AA9">
      <w:pPr>
        <w:pStyle w:val="Nagwek1"/>
        <w:spacing w:after="28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7. OBMIAR ROBÓT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7.1. Ogólne zasady obmiaru robót </w:t>
      </w:r>
    </w:p>
    <w:p w:rsidR="00E55990" w:rsidRPr="00067AA9" w:rsidRDefault="00067AA9">
      <w:pPr>
        <w:spacing w:after="125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Ogólne zasady obmiaru robót podano w ST  „Wymagania ogólne”.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lastRenderedPageBreak/>
        <w:t xml:space="preserve">7.2. Jednostka obmiarowa </w:t>
      </w:r>
    </w:p>
    <w:p w:rsidR="00E55990" w:rsidRPr="00067AA9" w:rsidRDefault="00067AA9">
      <w:pPr>
        <w:spacing w:after="287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>Jednostką obmiarową jest  m</w:t>
      </w:r>
      <w:r w:rsidRPr="00067AA9">
        <w:rPr>
          <w:rFonts w:ascii="Arial" w:hAnsi="Arial" w:cs="Arial"/>
          <w:szCs w:val="20"/>
          <w:vertAlign w:val="superscript"/>
        </w:rPr>
        <w:t>2</w:t>
      </w:r>
      <w:r w:rsidRPr="00067AA9">
        <w:rPr>
          <w:rFonts w:ascii="Arial" w:hAnsi="Arial" w:cs="Arial"/>
          <w:szCs w:val="20"/>
        </w:rPr>
        <w:t xml:space="preserve"> (metr kwadratowy) wykonanej pod</w:t>
      </w:r>
      <w:r w:rsidRPr="00067AA9">
        <w:rPr>
          <w:rFonts w:ascii="Arial" w:hAnsi="Arial" w:cs="Arial"/>
          <w:szCs w:val="20"/>
        </w:rPr>
        <w:t xml:space="preserve">budowy z tłucznia kamiennego. </w:t>
      </w:r>
    </w:p>
    <w:p w:rsidR="00E55990" w:rsidRPr="00067AA9" w:rsidRDefault="00067AA9">
      <w:pPr>
        <w:spacing w:line="358" w:lineRule="auto"/>
        <w:ind w:right="30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8. ODBIÓR ROBÓT </w:t>
      </w: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Ogólne zasady odbioru robót podano w ST „Wymagania ogólne”.  </w:t>
      </w:r>
    </w:p>
    <w:p w:rsidR="00E55990" w:rsidRPr="00067AA9" w:rsidRDefault="00067AA9">
      <w:pPr>
        <w:spacing w:after="286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Roboty uznaje się za zgodne z dokumentacją projektową, SST i wymaganiami Inżyniera, jeżeli wszystkie pomiary i badania z zachowaniem tolerancji wg pkt 6 dały wyniki pozytywne. </w:t>
      </w:r>
    </w:p>
    <w:p w:rsidR="00E55990" w:rsidRPr="00067AA9" w:rsidRDefault="00067AA9">
      <w:pPr>
        <w:pStyle w:val="Nagwek1"/>
        <w:spacing w:after="28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9. PODSTAWA PŁATNOŚCI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9.1. Ogólne ustalenia dotyczące podstawy płatności </w:t>
      </w:r>
    </w:p>
    <w:p w:rsidR="00E55990" w:rsidRPr="00067AA9" w:rsidRDefault="00067AA9">
      <w:pPr>
        <w:spacing w:after="126"/>
        <w:rPr>
          <w:rFonts w:ascii="Arial" w:hAnsi="Arial" w:cs="Arial"/>
          <w:szCs w:val="20"/>
        </w:rPr>
      </w:pPr>
      <w:r w:rsidRPr="00067AA9">
        <w:rPr>
          <w:rFonts w:ascii="Arial" w:hAnsi="Arial" w:cs="Arial"/>
          <w:b/>
          <w:szCs w:val="20"/>
        </w:rPr>
        <w:t xml:space="preserve"> </w:t>
      </w:r>
      <w:r w:rsidRPr="00067AA9">
        <w:rPr>
          <w:rFonts w:ascii="Arial" w:hAnsi="Arial" w:cs="Arial"/>
          <w:b/>
          <w:szCs w:val="20"/>
        </w:rPr>
        <w:tab/>
      </w:r>
      <w:r w:rsidRPr="00067AA9">
        <w:rPr>
          <w:rFonts w:ascii="Arial" w:hAnsi="Arial" w:cs="Arial"/>
          <w:szCs w:val="20"/>
        </w:rPr>
        <w:t xml:space="preserve">Ogólne ustalenia dotyczące podstawy płatności podano w ST „Wymagania ogólne”. 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9.2. Cena jednostki obmiarowej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>Cena wykonania 1 m</w:t>
      </w:r>
      <w:r w:rsidRPr="00067AA9">
        <w:rPr>
          <w:rFonts w:ascii="Arial" w:hAnsi="Arial" w:cs="Arial"/>
          <w:szCs w:val="20"/>
          <w:vertAlign w:val="superscript"/>
        </w:rPr>
        <w:t>2</w:t>
      </w:r>
      <w:r w:rsidRPr="00067AA9">
        <w:rPr>
          <w:rFonts w:ascii="Arial" w:hAnsi="Arial" w:cs="Arial"/>
          <w:szCs w:val="20"/>
        </w:rPr>
        <w:t xml:space="preserve"> podbudowy tłuczniowej obejmuje: </w:t>
      </w:r>
    </w:p>
    <w:p w:rsidR="00E55990" w:rsidRPr="00067AA9" w:rsidRDefault="00067AA9">
      <w:pPr>
        <w:numPr>
          <w:ilvl w:val="0"/>
          <w:numId w:val="5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prace pomiarowe i roboty przygotowawcze, </w:t>
      </w:r>
    </w:p>
    <w:p w:rsidR="00E55990" w:rsidRPr="00067AA9" w:rsidRDefault="00067AA9">
      <w:pPr>
        <w:numPr>
          <w:ilvl w:val="0"/>
          <w:numId w:val="5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oznakowanie robót, </w:t>
      </w:r>
    </w:p>
    <w:p w:rsidR="00E55990" w:rsidRPr="00067AA9" w:rsidRDefault="00067AA9">
      <w:pPr>
        <w:numPr>
          <w:ilvl w:val="0"/>
          <w:numId w:val="5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przygotowanie podłoża, </w:t>
      </w:r>
    </w:p>
    <w:p w:rsidR="00E55990" w:rsidRPr="00067AA9" w:rsidRDefault="00067AA9">
      <w:pPr>
        <w:numPr>
          <w:ilvl w:val="0"/>
          <w:numId w:val="5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>dos</w:t>
      </w:r>
      <w:r w:rsidRPr="00067AA9">
        <w:rPr>
          <w:rFonts w:ascii="Arial" w:hAnsi="Arial" w:cs="Arial"/>
          <w:szCs w:val="20"/>
        </w:rPr>
        <w:t xml:space="preserve">tarczenie materiałów na miejsce wbudowania, </w:t>
      </w:r>
    </w:p>
    <w:p w:rsidR="00E55990" w:rsidRPr="00067AA9" w:rsidRDefault="00067AA9">
      <w:pPr>
        <w:numPr>
          <w:ilvl w:val="0"/>
          <w:numId w:val="5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rozłożenie kruszywa, </w:t>
      </w:r>
    </w:p>
    <w:p w:rsidR="00E55990" w:rsidRPr="00067AA9" w:rsidRDefault="00067AA9">
      <w:pPr>
        <w:numPr>
          <w:ilvl w:val="0"/>
          <w:numId w:val="5"/>
        </w:numPr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zagęszczenie warstw z zaklinowaniem, </w:t>
      </w:r>
    </w:p>
    <w:p w:rsidR="00E55990" w:rsidRPr="00067AA9" w:rsidRDefault="00067AA9">
      <w:pPr>
        <w:numPr>
          <w:ilvl w:val="0"/>
          <w:numId w:val="5"/>
        </w:numPr>
        <w:spacing w:after="284"/>
        <w:ind w:hanging="283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przeprowadzenie pomiarów i badań laboratoryjnych określonych w specyfikacji technicznej, </w:t>
      </w:r>
      <w:r w:rsidRPr="00067AA9">
        <w:rPr>
          <w:rFonts w:ascii="Arial" w:eastAsia="Segoe UI Symbol" w:hAnsi="Arial" w:cs="Arial"/>
          <w:szCs w:val="20"/>
        </w:rPr>
        <w:t></w:t>
      </w:r>
      <w:r w:rsidRPr="00067AA9">
        <w:rPr>
          <w:rFonts w:ascii="Arial" w:eastAsia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 xml:space="preserve">utrzymanie podbudowy w czasie robót. </w:t>
      </w:r>
    </w:p>
    <w:p w:rsidR="00E55990" w:rsidRPr="00067AA9" w:rsidRDefault="00067AA9">
      <w:pPr>
        <w:pStyle w:val="Nagwek1"/>
        <w:spacing w:after="241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10. PRZEPISY ZWIĄZANE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10.1. Normy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PN-B-06714-12 </w:t>
      </w:r>
      <w:r w:rsidRPr="00067AA9">
        <w:rPr>
          <w:rFonts w:ascii="Arial" w:hAnsi="Arial" w:cs="Arial"/>
          <w:szCs w:val="20"/>
        </w:rPr>
        <w:tab/>
        <w:t xml:space="preserve">Kruszywa mineralne. Badania. Oznaczanie zawartości </w:t>
      </w:r>
    </w:p>
    <w:p w:rsidR="00E55990" w:rsidRPr="00067AA9" w:rsidRDefault="00067AA9">
      <w:pPr>
        <w:spacing w:after="31" w:line="240" w:lineRule="auto"/>
        <w:ind w:left="0" w:firstLine="0"/>
        <w:jc w:val="center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zanieczyszczeń obcych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PN-B-06714-15 </w:t>
      </w:r>
      <w:r w:rsidRPr="00067AA9">
        <w:rPr>
          <w:rFonts w:ascii="Arial" w:hAnsi="Arial" w:cs="Arial"/>
          <w:szCs w:val="20"/>
        </w:rPr>
        <w:tab/>
        <w:t xml:space="preserve">Kruszywa </w:t>
      </w:r>
      <w:r w:rsidRPr="00067AA9">
        <w:rPr>
          <w:rFonts w:ascii="Arial" w:hAnsi="Arial" w:cs="Arial"/>
          <w:szCs w:val="20"/>
        </w:rPr>
        <w:tab/>
        <w:t xml:space="preserve">mineralne. </w:t>
      </w:r>
      <w:r w:rsidRPr="00067AA9">
        <w:rPr>
          <w:rFonts w:ascii="Arial" w:hAnsi="Arial" w:cs="Arial"/>
          <w:szCs w:val="20"/>
        </w:rPr>
        <w:tab/>
        <w:t xml:space="preserve">Badania. </w:t>
      </w:r>
      <w:r w:rsidRPr="00067AA9">
        <w:rPr>
          <w:rFonts w:ascii="Arial" w:hAnsi="Arial" w:cs="Arial"/>
          <w:szCs w:val="20"/>
        </w:rPr>
        <w:tab/>
        <w:t xml:space="preserve">Oznaczanie </w:t>
      </w:r>
      <w:r w:rsidRPr="00067AA9">
        <w:rPr>
          <w:rFonts w:ascii="Arial" w:hAnsi="Arial" w:cs="Arial"/>
          <w:szCs w:val="20"/>
        </w:rPr>
        <w:tab/>
        <w:t xml:space="preserve">składu ziarnowego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PN-B-06714-16 </w:t>
      </w:r>
      <w:r w:rsidRPr="00067AA9">
        <w:rPr>
          <w:rFonts w:ascii="Arial" w:hAnsi="Arial" w:cs="Arial"/>
          <w:szCs w:val="20"/>
        </w:rPr>
        <w:tab/>
        <w:t xml:space="preserve">Kruszywa mineralne. Badania. Oznaczanie kształtu </w:t>
      </w:r>
      <w:proofErr w:type="spellStart"/>
      <w:r w:rsidRPr="00067AA9">
        <w:rPr>
          <w:rFonts w:ascii="Arial" w:hAnsi="Arial" w:cs="Arial"/>
          <w:szCs w:val="20"/>
        </w:rPr>
        <w:t>ziarn</w:t>
      </w:r>
      <w:proofErr w:type="spellEnd"/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PN-B-06714-18 </w:t>
      </w:r>
      <w:r w:rsidRPr="00067AA9">
        <w:rPr>
          <w:rFonts w:ascii="Arial" w:hAnsi="Arial" w:cs="Arial"/>
          <w:szCs w:val="20"/>
        </w:rPr>
        <w:tab/>
        <w:t xml:space="preserve">Kruszywa mineralne. Badania. Oznaczanie nasiąkliwości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PN-B-06714-19 Kruszywa mineralne. Badania. Oznaczanie mrozoodporności metodą bezpośrednią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PN-B-06714-26 </w:t>
      </w:r>
      <w:r w:rsidRPr="00067AA9">
        <w:rPr>
          <w:rFonts w:ascii="Arial" w:hAnsi="Arial" w:cs="Arial"/>
          <w:szCs w:val="20"/>
        </w:rPr>
        <w:tab/>
        <w:t xml:space="preserve">Kruszywa mineralne. Badania. Oznaczanie zawartości zanieczyszczeń organicznych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PN-B-06714-42 Kruszywa mineralne. Badania. Oznaczanie ścieralności w bębnie Los Angeles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PN-B-11112 </w:t>
      </w:r>
      <w:r w:rsidRPr="00067AA9">
        <w:rPr>
          <w:rFonts w:ascii="Arial" w:hAnsi="Arial" w:cs="Arial"/>
          <w:szCs w:val="20"/>
        </w:rPr>
        <w:tab/>
        <w:t xml:space="preserve">Kruszywo mineralne. Kruszywo łamane do nawierzchni drogowych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PN-S-96023 </w:t>
      </w:r>
      <w:r w:rsidRPr="00067AA9">
        <w:rPr>
          <w:rFonts w:ascii="Arial" w:hAnsi="Arial" w:cs="Arial"/>
          <w:szCs w:val="20"/>
        </w:rPr>
        <w:tab/>
        <w:t xml:space="preserve">Konstrukcje drogowe. Podbudowa i nawierzchnia z tłucznia kamiennego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>BN-64/8931-0</w:t>
      </w:r>
      <w:r w:rsidRPr="00067AA9">
        <w:rPr>
          <w:rFonts w:ascii="Arial" w:hAnsi="Arial" w:cs="Arial"/>
          <w:szCs w:val="20"/>
        </w:rPr>
        <w:t xml:space="preserve">2 </w:t>
      </w:r>
      <w:r w:rsidRPr="00067AA9">
        <w:rPr>
          <w:rFonts w:ascii="Arial" w:hAnsi="Arial" w:cs="Arial"/>
          <w:szCs w:val="20"/>
        </w:rPr>
        <w:tab/>
        <w:t xml:space="preserve">Drogi samochodowe. Oznaczanie modułu odkształcenia nawierzchni podatnych i podłoża przez obciążenie płytą </w:t>
      </w:r>
    </w:p>
    <w:p w:rsidR="00E55990" w:rsidRPr="00067AA9" w:rsidRDefault="00067AA9">
      <w:pPr>
        <w:numPr>
          <w:ilvl w:val="0"/>
          <w:numId w:val="6"/>
        </w:numPr>
        <w:ind w:right="705" w:hanging="514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BN-68/8931-04 </w:t>
      </w:r>
      <w:r w:rsidRPr="00067AA9">
        <w:rPr>
          <w:rFonts w:ascii="Arial" w:hAnsi="Arial" w:cs="Arial"/>
          <w:szCs w:val="20"/>
        </w:rPr>
        <w:tab/>
        <w:t xml:space="preserve">Drogi </w:t>
      </w:r>
      <w:r w:rsidRPr="00067AA9">
        <w:rPr>
          <w:rFonts w:ascii="Arial" w:hAnsi="Arial" w:cs="Arial"/>
          <w:szCs w:val="20"/>
        </w:rPr>
        <w:tab/>
        <w:t xml:space="preserve">samochodowe. </w:t>
      </w:r>
      <w:r w:rsidRPr="00067AA9">
        <w:rPr>
          <w:rFonts w:ascii="Arial" w:hAnsi="Arial" w:cs="Arial"/>
          <w:szCs w:val="20"/>
        </w:rPr>
        <w:tab/>
        <w:t xml:space="preserve">Pomiar </w:t>
      </w:r>
      <w:r w:rsidRPr="00067AA9">
        <w:rPr>
          <w:rFonts w:ascii="Arial" w:hAnsi="Arial" w:cs="Arial"/>
          <w:szCs w:val="20"/>
        </w:rPr>
        <w:tab/>
        <w:t xml:space="preserve">równości </w:t>
      </w:r>
      <w:r w:rsidRPr="00067AA9">
        <w:rPr>
          <w:rFonts w:ascii="Arial" w:hAnsi="Arial" w:cs="Arial"/>
          <w:szCs w:val="20"/>
        </w:rPr>
        <w:tab/>
        <w:t xml:space="preserve">nawierzchni </w:t>
      </w:r>
    </w:p>
    <w:p w:rsidR="00E55990" w:rsidRPr="00067AA9" w:rsidRDefault="00067AA9">
      <w:pPr>
        <w:ind w:left="2491"/>
        <w:rPr>
          <w:rFonts w:ascii="Arial" w:hAnsi="Arial" w:cs="Arial"/>
          <w:szCs w:val="20"/>
        </w:rPr>
      </w:pPr>
      <w:proofErr w:type="spellStart"/>
      <w:r w:rsidRPr="00067AA9">
        <w:rPr>
          <w:rFonts w:ascii="Arial" w:hAnsi="Arial" w:cs="Arial"/>
          <w:szCs w:val="20"/>
        </w:rPr>
        <w:t>planografem</w:t>
      </w:r>
      <w:proofErr w:type="spellEnd"/>
      <w:r w:rsidRPr="00067AA9">
        <w:rPr>
          <w:rFonts w:ascii="Arial" w:hAnsi="Arial" w:cs="Arial"/>
          <w:szCs w:val="20"/>
        </w:rPr>
        <w:t xml:space="preserve"> i łatą. </w:t>
      </w:r>
    </w:p>
    <w:p w:rsidR="00E55990" w:rsidRPr="00067AA9" w:rsidRDefault="00067AA9">
      <w:pPr>
        <w:spacing w:after="125" w:line="240" w:lineRule="auto"/>
        <w:ind w:left="1" w:firstLine="0"/>
        <w:jc w:val="left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</w:p>
    <w:p w:rsidR="00E55990" w:rsidRPr="00067AA9" w:rsidRDefault="00067AA9">
      <w:pPr>
        <w:pStyle w:val="Nagwek2"/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10.2. Inne dokumenty </w:t>
      </w:r>
    </w:p>
    <w:p w:rsidR="00E55990" w:rsidRPr="00067AA9" w:rsidRDefault="00067AA9">
      <w:pPr>
        <w:rPr>
          <w:rFonts w:ascii="Arial" w:hAnsi="Arial" w:cs="Arial"/>
          <w:szCs w:val="20"/>
        </w:rPr>
      </w:pPr>
      <w:r w:rsidRPr="00067AA9">
        <w:rPr>
          <w:rFonts w:ascii="Arial" w:hAnsi="Arial" w:cs="Arial"/>
          <w:szCs w:val="20"/>
        </w:rPr>
        <w:t xml:space="preserve"> </w:t>
      </w:r>
      <w:r w:rsidRPr="00067AA9">
        <w:rPr>
          <w:rFonts w:ascii="Arial" w:hAnsi="Arial" w:cs="Arial"/>
          <w:szCs w:val="20"/>
        </w:rPr>
        <w:tab/>
        <w:t xml:space="preserve">Nie występują. </w:t>
      </w:r>
    </w:p>
    <w:sectPr w:rsidR="00E55990" w:rsidRPr="00067AA9">
      <w:pgSz w:w="11906" w:h="16841"/>
      <w:pgMar w:top="1135" w:right="1398" w:bottom="1152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83879"/>
    <w:multiLevelType w:val="hybridMultilevel"/>
    <w:tmpl w:val="8B501BC0"/>
    <w:lvl w:ilvl="0" w:tplc="FFEEE0EC">
      <w:start w:val="1"/>
      <w:numFmt w:val="decimal"/>
      <w:lvlText w:val="%1."/>
      <w:lvlJc w:val="left"/>
      <w:pPr>
        <w:ind w:left="359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CAB0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F03C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A09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A930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67B4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A1B4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D9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AF76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3E5315"/>
    <w:multiLevelType w:val="hybridMultilevel"/>
    <w:tmpl w:val="279E1FB0"/>
    <w:lvl w:ilvl="0" w:tplc="01DCB1C0">
      <w:start w:val="1"/>
      <w:numFmt w:val="lowerLetter"/>
      <w:lvlText w:val="%1)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B83E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BEB4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6E34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E836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D0FC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9659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0A9B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8C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A60FA7"/>
    <w:multiLevelType w:val="hybridMultilevel"/>
    <w:tmpl w:val="55C4CB30"/>
    <w:lvl w:ilvl="0" w:tplc="92647F5C">
      <w:start w:val="1"/>
      <w:numFmt w:val="decimal"/>
      <w:lvlText w:val="%1.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F86272">
      <w:start w:val="1"/>
      <w:numFmt w:val="lowerLetter"/>
      <w:lvlText w:val="%2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160FB4">
      <w:start w:val="1"/>
      <w:numFmt w:val="lowerRoman"/>
      <w:lvlText w:val="%3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98765C">
      <w:start w:val="1"/>
      <w:numFmt w:val="decimal"/>
      <w:lvlText w:val="%4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4C9CFA">
      <w:start w:val="1"/>
      <w:numFmt w:val="lowerLetter"/>
      <w:lvlText w:val="%5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E69456">
      <w:start w:val="1"/>
      <w:numFmt w:val="lowerRoman"/>
      <w:lvlText w:val="%6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CADCA2">
      <w:start w:val="1"/>
      <w:numFmt w:val="decimal"/>
      <w:lvlText w:val="%7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0A7C7A">
      <w:start w:val="1"/>
      <w:numFmt w:val="lowerLetter"/>
      <w:lvlText w:val="%8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D4413E">
      <w:start w:val="1"/>
      <w:numFmt w:val="lowerRoman"/>
      <w:lvlText w:val="%9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DFB5DC5"/>
    <w:multiLevelType w:val="hybridMultilevel"/>
    <w:tmpl w:val="2E8AE9DE"/>
    <w:lvl w:ilvl="0" w:tplc="75387AF2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6227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6C1EE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6472B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1E8D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7681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18918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40B3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E238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E2D59BE"/>
    <w:multiLevelType w:val="hybridMultilevel"/>
    <w:tmpl w:val="1C06889C"/>
    <w:lvl w:ilvl="0" w:tplc="3A880380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E8D52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025F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58FA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DA02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9CE9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BA3F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96B4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C6AAE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E8C131B"/>
    <w:multiLevelType w:val="hybridMultilevel"/>
    <w:tmpl w:val="5B4286EC"/>
    <w:lvl w:ilvl="0" w:tplc="7064150C">
      <w:start w:val="2"/>
      <w:numFmt w:val="lowerLetter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CAE1A2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5837CE">
      <w:start w:val="1"/>
      <w:numFmt w:val="bullet"/>
      <w:lvlText w:val="▪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2EFCDA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0A86CE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D071E8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CE6F8C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520850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F82040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C864748"/>
    <w:multiLevelType w:val="hybridMultilevel"/>
    <w:tmpl w:val="8DC42B24"/>
    <w:lvl w:ilvl="0" w:tplc="651074DE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6C82E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A01F8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22DD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2C34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DE999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80552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6BDC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50314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F20778D"/>
    <w:multiLevelType w:val="hybridMultilevel"/>
    <w:tmpl w:val="40AC66E2"/>
    <w:lvl w:ilvl="0" w:tplc="6ED4325C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D859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0646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6639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36AC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30EF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C8A1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4801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2422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46520B9"/>
    <w:multiLevelType w:val="hybridMultilevel"/>
    <w:tmpl w:val="12FCA8FE"/>
    <w:lvl w:ilvl="0" w:tplc="88D855F0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EA74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9CCEC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EC33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EFC3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38A4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F42FC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6B0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C4C35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3F5315"/>
    <w:multiLevelType w:val="hybridMultilevel"/>
    <w:tmpl w:val="0FB289EC"/>
    <w:lvl w:ilvl="0" w:tplc="9B6E4D64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38B69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1A010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94C73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0AA0A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4A50C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C817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08B95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3E6BA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EF976A1"/>
    <w:multiLevelType w:val="hybridMultilevel"/>
    <w:tmpl w:val="7FCC2AA2"/>
    <w:lvl w:ilvl="0" w:tplc="D4FAFCAA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56780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AAB3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EDE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36EC1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7628A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40DCA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D20D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6839F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D0E1134"/>
    <w:multiLevelType w:val="hybridMultilevel"/>
    <w:tmpl w:val="37CAAF66"/>
    <w:lvl w:ilvl="0" w:tplc="53762A1C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86DEF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54D21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3670A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8AF37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4325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3CAA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AA80E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E8500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D06248D"/>
    <w:multiLevelType w:val="hybridMultilevel"/>
    <w:tmpl w:val="DC2636AE"/>
    <w:lvl w:ilvl="0" w:tplc="229615D0">
      <w:start w:val="1"/>
      <w:numFmt w:val="lowerLetter"/>
      <w:lvlText w:val="%1)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F8BA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1EE3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C6B1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320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CEAE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D673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966C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E0A8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1"/>
  </w:num>
  <w:num w:numId="9">
    <w:abstractNumId w:val="12"/>
  </w:num>
  <w:num w:numId="10">
    <w:abstractNumId w:val="10"/>
  </w:num>
  <w:num w:numId="11">
    <w:abstractNumId w:val="3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990"/>
    <w:rsid w:val="00067AA9"/>
    <w:rsid w:val="00E5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4176F-7EB8-4756-BB09-E59D11FC3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2" w:line="246" w:lineRule="auto"/>
      <w:ind w:left="-4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43" w:line="246" w:lineRule="auto"/>
      <w:ind w:left="-4" w:right="-15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3" w:line="246" w:lineRule="auto"/>
      <w:ind w:left="-4" w:right="-15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2797</Words>
  <Characters>16787</Characters>
  <Application>Microsoft Office Word</Application>
  <DocSecurity>0</DocSecurity>
  <Lines>139</Lines>
  <Paragraphs>39</Paragraphs>
  <ScaleCrop>false</ScaleCrop>
  <Company/>
  <LinksUpToDate>false</LinksUpToDate>
  <CharactersWithSpaces>19545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D-04.04.04</dc:title>
  <dc:subject>ost</dc:subject>
  <dc:creator>BZD BDIM Sp. z o.o.</dc:creator>
  <cp:keywords>specyfikacje, drogi, drogownictwo</cp:keywords>
  <cp:lastModifiedBy>td20212020@outlook.com</cp:lastModifiedBy>
  <cp:revision>2</cp:revision>
  <dcterms:created xsi:type="dcterms:W3CDTF">2024-03-13T22:01:00Z</dcterms:created>
  <dcterms:modified xsi:type="dcterms:W3CDTF">2024-03-13T22:01:00Z</dcterms:modified>
</cp:coreProperties>
</file>